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8" w:rsidRPr="00BB002F" w:rsidRDefault="001971D8" w:rsidP="00BB002F">
      <w:pPr>
        <w:pStyle w:val="NormalWeb"/>
        <w:widowControl w:val="0"/>
        <w:spacing w:before="0" w:beforeAutospacing="0" w:after="0" w:afterAutospacing="0"/>
        <w:rPr>
          <w:rFonts w:ascii="Times New Roman" w:eastAsia="仿宋_GB2312" w:hAnsi="Times New Roman" w:cs="Times New Roman"/>
          <w:bCs/>
          <w:sz w:val="32"/>
          <w:szCs w:val="32"/>
        </w:rPr>
      </w:pPr>
      <w:r w:rsidRPr="00BB002F">
        <w:rPr>
          <w:rFonts w:ascii="Times New Roman" w:eastAsia="仿宋_GB2312" w:hAnsi="Times New Roman" w:cs="Times New Roman" w:hint="eastAsia"/>
          <w:bCs/>
          <w:sz w:val="32"/>
          <w:szCs w:val="32"/>
        </w:rPr>
        <w:t>附件</w:t>
      </w:r>
      <w:r w:rsidRPr="00BB002F">
        <w:rPr>
          <w:rFonts w:ascii="Times New Roman" w:eastAsia="仿宋_GB2312" w:hAnsi="Times New Roman" w:cs="Times New Roman"/>
          <w:bCs/>
          <w:sz w:val="32"/>
          <w:szCs w:val="32"/>
        </w:rPr>
        <w:t>1</w:t>
      </w:r>
    </w:p>
    <w:p w:rsidR="001971D8" w:rsidRDefault="001971D8" w:rsidP="00382B4A">
      <w:pPr>
        <w:pStyle w:val="NormalWeb"/>
        <w:spacing w:before="0" w:beforeAutospacing="0" w:after="0" w:afterAutospacing="0" w:line="300" w:lineRule="auto"/>
        <w:jc w:val="center"/>
        <w:rPr>
          <w:rFonts w:cs="Times New Roman"/>
          <w:b/>
          <w:bCs/>
          <w:sz w:val="40"/>
          <w:szCs w:val="40"/>
        </w:rPr>
      </w:pPr>
      <w:r w:rsidRPr="007A4747">
        <w:rPr>
          <w:rFonts w:cs="Times New Roman" w:hint="eastAsia"/>
          <w:b/>
          <w:bCs/>
          <w:sz w:val="40"/>
          <w:szCs w:val="40"/>
        </w:rPr>
        <w:t>关于</w:t>
      </w:r>
      <w:r>
        <w:rPr>
          <w:rFonts w:cs="Times New Roman" w:hint="eastAsia"/>
          <w:b/>
          <w:bCs/>
          <w:sz w:val="40"/>
          <w:szCs w:val="40"/>
        </w:rPr>
        <w:t>开展</w:t>
      </w:r>
      <w:r w:rsidRPr="007A4747">
        <w:rPr>
          <w:rFonts w:cs="Times New Roman" w:hint="eastAsia"/>
          <w:b/>
          <w:bCs/>
          <w:sz w:val="40"/>
          <w:szCs w:val="40"/>
        </w:rPr>
        <w:t>集体备课的指导意见</w:t>
      </w:r>
    </w:p>
    <w:p w:rsidR="001971D8" w:rsidRPr="00BB002F" w:rsidRDefault="001971D8" w:rsidP="00BB002F">
      <w:pPr>
        <w:pStyle w:val="NormalWeb"/>
        <w:widowControl w:val="0"/>
        <w:spacing w:before="0" w:beforeAutospacing="0" w:after="0" w:afterAutospacing="0" w:line="560" w:lineRule="exact"/>
        <w:jc w:val="both"/>
        <w:rPr>
          <w:rFonts w:ascii="Times New Roman" w:eastAsia="仿宋_GB2312" w:hAnsi="Times New Roman" w:cs="Times New Roman"/>
          <w:b/>
          <w:bCs/>
          <w:sz w:val="32"/>
          <w:szCs w:val="32"/>
        </w:rPr>
      </w:pP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集体备课是学校工作的一项重要内容</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是深化教学改革、全面提高教育教学质量的重要途径，是教研组活动的重要形式。教师集体备课可以汇聚集体智慧共同攻坚克难，实现智慧和资源共享互补，提高教师业务能力和教研团队的整体实力。现就学校开展集体备课提出如下指导性意见。</w:t>
      </w:r>
    </w:p>
    <w:p w:rsidR="001971D8" w:rsidRPr="00BB002F" w:rsidRDefault="001971D8" w:rsidP="00BB002F">
      <w:pPr>
        <w:pStyle w:val="NormalWeb"/>
        <w:widowControl w:val="0"/>
        <w:spacing w:before="0" w:beforeAutospacing="0" w:after="0" w:afterAutospacing="0" w:line="560" w:lineRule="exact"/>
        <w:ind w:firstLine="640"/>
        <w:jc w:val="both"/>
        <w:rPr>
          <w:rFonts w:ascii="黑体" w:eastAsia="黑体" w:hAnsi="黑体" w:cs="Times New Roman"/>
          <w:sz w:val="32"/>
          <w:szCs w:val="32"/>
        </w:rPr>
      </w:pPr>
      <w:r w:rsidRPr="00BB002F">
        <w:rPr>
          <w:rFonts w:ascii="黑体" w:eastAsia="黑体" w:hAnsi="黑体" w:cs="Times New Roman" w:hint="eastAsia"/>
          <w:sz w:val="32"/>
          <w:szCs w:val="32"/>
        </w:rPr>
        <w:t>一、集体备课的基本原则</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一</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实效性原则</w:t>
      </w:r>
      <w:r w:rsidRPr="00BB002F">
        <w:rPr>
          <w:rFonts w:ascii="Times New Roman" w:eastAsia="仿宋_GB2312" w:hAnsi="Times New Roman" w:cs="Times New Roman" w:hint="eastAsia"/>
          <w:sz w:val="32"/>
          <w:szCs w:val="32"/>
        </w:rPr>
        <w:t>：重在解决学科教学、单元整体备课教学流程设计、重点、难点突破，特别是要聚焦学科教学面临的共性疑难问题。</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二</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研究性原则</w:t>
      </w:r>
      <w:r w:rsidRPr="00BB002F">
        <w:rPr>
          <w:rFonts w:ascii="Times New Roman" w:eastAsia="仿宋_GB2312" w:hAnsi="Times New Roman" w:cs="Times New Roman" w:hint="eastAsia"/>
          <w:sz w:val="32"/>
          <w:szCs w:val="32"/>
        </w:rPr>
        <w:t>：集体备课要针对每个关键问题或课堂教学设计核心环节等，深入开展研究讨论，整合出合理方案。</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三</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互补性原则</w:t>
      </w:r>
      <w:r w:rsidRPr="00BB002F">
        <w:rPr>
          <w:rFonts w:ascii="Times New Roman" w:eastAsia="仿宋_GB2312" w:hAnsi="Times New Roman" w:cs="Times New Roman" w:hint="eastAsia"/>
          <w:sz w:val="32"/>
          <w:szCs w:val="32"/>
        </w:rPr>
        <w:t>：集体备课将集体智慧与个人特长有机地结合起来，把集体智慧与个人创造实现互补共赢</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促进集体共同成长。</w:t>
      </w:r>
    </w:p>
    <w:p w:rsidR="001971D8" w:rsidRPr="00BB002F" w:rsidRDefault="001971D8" w:rsidP="00BB002F">
      <w:pPr>
        <w:pStyle w:val="NormalWeb"/>
        <w:widowControl w:val="0"/>
        <w:spacing w:before="0" w:beforeAutospacing="0" w:after="0" w:afterAutospacing="0" w:line="560" w:lineRule="exact"/>
        <w:ind w:firstLine="640"/>
        <w:jc w:val="both"/>
        <w:rPr>
          <w:rFonts w:ascii="黑体" w:eastAsia="黑体" w:hAnsi="黑体" w:cs="Times New Roman"/>
          <w:sz w:val="32"/>
          <w:szCs w:val="32"/>
        </w:rPr>
      </w:pPr>
      <w:r w:rsidRPr="00BB002F">
        <w:rPr>
          <w:rFonts w:ascii="黑体" w:eastAsia="黑体" w:hAnsi="黑体" w:cs="Times New Roman" w:hint="eastAsia"/>
          <w:sz w:val="32"/>
          <w:szCs w:val="32"/>
        </w:rPr>
        <w:t>二、集体备课的基本程序</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集体备课的基本程序是：个人自备、集体商讨、形成方案、反思改进。</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一</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个人自备：</w:t>
      </w:r>
      <w:r w:rsidRPr="00BB002F">
        <w:rPr>
          <w:rFonts w:ascii="Times New Roman" w:eastAsia="仿宋_GB2312" w:hAnsi="Times New Roman" w:cs="Times New Roman" w:hint="eastAsia"/>
          <w:sz w:val="32"/>
          <w:szCs w:val="32"/>
        </w:rPr>
        <w:t>由教研（备课）组长提前规划集体备课内容、分工和时间，然后每个教师根据任务学习研究课程标准、教材、教参及其他相关材料，提出教学设计个人方案。</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二</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集体商讨：</w:t>
      </w:r>
      <w:r w:rsidRPr="00BB002F">
        <w:rPr>
          <w:rFonts w:ascii="Times New Roman" w:eastAsia="仿宋_GB2312" w:hAnsi="Times New Roman" w:cs="Times New Roman" w:hint="eastAsia"/>
          <w:sz w:val="32"/>
          <w:szCs w:val="32"/>
        </w:rPr>
        <w:t>由事先确定的主讲教师发言，然后进行集体探讨，重点讨论研究设计中存在的关键问题、疑难问题，确定合理的初步方案。</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三</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二次备课：</w:t>
      </w:r>
      <w:r w:rsidRPr="00BB002F">
        <w:rPr>
          <w:rFonts w:ascii="Times New Roman" w:eastAsia="仿宋_GB2312" w:hAnsi="Times New Roman" w:cs="Times New Roman" w:hint="eastAsia"/>
          <w:sz w:val="32"/>
          <w:szCs w:val="32"/>
        </w:rPr>
        <w:t>每个教师根据集体达成的共识，结合所任教班级学生实际具体编制学与教的流程，形成适合本班学情教学结构。</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四</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反思改进</w:t>
      </w:r>
      <w:r w:rsidRPr="00BB002F">
        <w:rPr>
          <w:rFonts w:ascii="Times New Roman" w:eastAsia="仿宋_GB2312" w:hAnsi="Times New Roman" w:cs="Times New Roman" w:hint="eastAsia"/>
          <w:sz w:val="32"/>
          <w:szCs w:val="32"/>
        </w:rPr>
        <w:t>：通过校本研修等活动，及时记录每次集体备课研讨和教学实践，认真反思，不断改进。</w:t>
      </w:r>
    </w:p>
    <w:p w:rsidR="001971D8" w:rsidRPr="00BB002F" w:rsidRDefault="001971D8" w:rsidP="00BB002F">
      <w:pPr>
        <w:pStyle w:val="NormalWeb"/>
        <w:widowControl w:val="0"/>
        <w:spacing w:before="0" w:beforeAutospacing="0" w:after="0" w:afterAutospacing="0" w:line="560" w:lineRule="exact"/>
        <w:ind w:firstLine="640"/>
        <w:jc w:val="both"/>
        <w:rPr>
          <w:rFonts w:ascii="黑体" w:eastAsia="黑体" w:hAnsi="黑体" w:cs="Times New Roman"/>
          <w:sz w:val="32"/>
          <w:szCs w:val="32"/>
        </w:rPr>
      </w:pPr>
      <w:r w:rsidRPr="00BB002F">
        <w:rPr>
          <w:rFonts w:ascii="黑体" w:eastAsia="黑体" w:hAnsi="黑体" w:cs="Times New Roman" w:hint="eastAsia"/>
          <w:sz w:val="32"/>
          <w:szCs w:val="32"/>
        </w:rPr>
        <w:t>三、集体备课的实施建议</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一</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突出整体设计</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制定教学工作计划。围绕立德树人的教育宗旨，坚持</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以学生为中心</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根据各学科课程标准理念和学科核心素养培育要求，全面了解和整体把握本教材的知识体系、能力要求、编排逻辑和编写意图；立足学生的发展，制定学期的教学目标，梳理出教材重难点的框架图、合理分配单元和课时比例，拟定学期教学进度；毕业班要参考我区复习备考工作指导意见，做好学年的整体设计。</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突出工作系统设计。汇聚集体智慧聚焦学生发展的学科核心素养，厘清整体学段和具体学期的各个单元、每课时及主题教学的</w:t>
      </w:r>
      <w:r w:rsidRPr="00BB002F">
        <w:rPr>
          <w:rFonts w:ascii="Times New Roman" w:eastAsia="仿宋_GB2312" w:hAnsi="Times New Roman" w:cs="Times New Roman"/>
          <w:sz w:val="32"/>
          <w:szCs w:val="32"/>
        </w:rPr>
        <w:t xml:space="preserve"> “</w:t>
      </w:r>
      <w:r w:rsidRPr="00BB002F">
        <w:rPr>
          <w:rFonts w:ascii="Times New Roman" w:eastAsia="仿宋_GB2312" w:hAnsi="Times New Roman" w:cs="Times New Roman" w:hint="eastAsia"/>
          <w:sz w:val="32"/>
          <w:szCs w:val="32"/>
        </w:rPr>
        <w:t>核心素养是什么、关键知识有哪些、驱动性问题是什么、采取怎样的教学活动</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；立足课堂教学的核心环节，向课前准备、课后作业、考试评价、教学研究等各个环节延伸拓展，实现</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教</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学</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评</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研</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的一致性。</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二</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聚焦重点项目</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紧扣学校改进项目。研究、聚焦学校教学新常规建设的短板、难点、重点问题，如强化课程建设、推进课堂教学变革项目、规范试卷讲评课和复习课等课型的要求、研究作业设计与利用、聚焦资源利用与选择等；积极推进学科评价的研究，组织精干力量对教育质量监测的数据进行精细分析、判定学科建设的短板</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提出改进的对策。</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注重教学结构设计。聚焦学习目标和核心概念，紧扣课堂教学变革的方向，重视设计</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情境、交互、体验、反思</w:t>
      </w:r>
      <w:r w:rsidRPr="00BB002F">
        <w:rPr>
          <w:rFonts w:ascii="Times New Roman" w:eastAsia="仿宋_GB2312" w:hAnsi="Times New Roman" w:cs="Times New Roman"/>
          <w:sz w:val="32"/>
          <w:szCs w:val="32"/>
        </w:rPr>
        <w:t>”</w:t>
      </w:r>
      <w:r w:rsidRPr="00BB002F">
        <w:rPr>
          <w:rFonts w:ascii="Times New Roman" w:eastAsia="仿宋_GB2312" w:hAnsi="Times New Roman" w:cs="Times New Roman" w:hint="eastAsia"/>
          <w:sz w:val="32"/>
          <w:szCs w:val="32"/>
        </w:rPr>
        <w:t>为一体的深度学习场域，突出核心知识、关键能力的问题化学习、项目化学习、表现性评价设计，科学预设知道与理解、应用与分析、综合与评判等环节的学习活动，推进从对话到任务驱动的学习，促进学习方式的转变，推进交互式学习，实现精准、多样的学习，促进高阶思维的发展。</w:t>
      </w:r>
    </w:p>
    <w:p w:rsidR="001971D8" w:rsidRPr="00BB002F" w:rsidRDefault="001971D8" w:rsidP="00BB002F">
      <w:pPr>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具体来讲，不同学段、学科课堂变革具体建议</w:t>
      </w:r>
      <w:bookmarkStart w:id="0" w:name="OLE_LINK1"/>
      <w:r w:rsidRPr="00BB002F">
        <w:rPr>
          <w:rFonts w:ascii="Times New Roman" w:eastAsia="仿宋_GB2312" w:hAnsi="Times New Roman" w:hint="eastAsia"/>
          <w:kern w:val="0"/>
          <w:sz w:val="32"/>
          <w:szCs w:val="32"/>
        </w:rPr>
        <w:t>如下：</w:t>
      </w:r>
    </w:p>
    <w:p w:rsidR="001971D8" w:rsidRPr="00BB002F" w:rsidRDefault="001971D8" w:rsidP="00BB002F">
      <w:pPr>
        <w:adjustRightInd w:val="0"/>
        <w:snapToGrid w:val="0"/>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学前教育要基于儿童的学习特点和学习方式出发，以游戏为基本活动，重视幼儿的学习品质，鼓励支持幼儿通过直接感知、实际操作、亲身体验等方式学习探索，努力让每位儿童在一种安全的、有趣的、自由的状态中游戏、学习、生活，促进幼儿快乐健康成长。</w:t>
      </w:r>
    </w:p>
    <w:bookmarkEnd w:id="0"/>
    <w:p w:rsidR="001971D8" w:rsidRPr="00BB002F" w:rsidRDefault="001971D8" w:rsidP="00BB002F">
      <w:pPr>
        <w:snapToGrid w:val="0"/>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小学开展以建设</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素养课堂</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为切入点的教学改革，强调以生命成长为导向，塑造学生的必备品格、创新精神和关键能力，坚持以生为本、以学定教原则，探索大单元、大情境、大任务的教与学，构建各学科素养课堂新教学内容与学习方式，重建教学常规与教学管理。</w:t>
      </w:r>
    </w:p>
    <w:p w:rsidR="001971D8" w:rsidRPr="00BB002F" w:rsidRDefault="001971D8" w:rsidP="00BB002F">
      <w:pPr>
        <w:snapToGrid w:val="0"/>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初中段深化基于关键能力发展</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教、研、评</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一致性行动研究，通过梳理初中学科关键能力并结合系列研讨、评比、展示等活动提炼学科关键能力的教学策略，引领教师运用相关策略改良教学行为。</w:t>
      </w:r>
    </w:p>
    <w:p w:rsidR="001971D8" w:rsidRPr="00BB002F" w:rsidRDefault="001971D8" w:rsidP="00BB002F">
      <w:pPr>
        <w:snapToGrid w:val="0"/>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中职立足智能化和中本一体化的人才培养，探索开展以</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工匠精神</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和</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温州人精神</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为重要内容的学生职业素养教育，推进</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新教师、新教材、新教法</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教学改革，教学过程与生产过程开放对接，深入促进学科跨界融合，依托和开辟创新创业教育实验室，推进校企共同开发课程</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实施精准教学和精准培养。</w:t>
      </w:r>
    </w:p>
    <w:p w:rsidR="001971D8" w:rsidRPr="00BB002F" w:rsidRDefault="001971D8" w:rsidP="00BB002F">
      <w:pPr>
        <w:snapToGrid w:val="0"/>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综合学科在</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五育并举</w:t>
      </w:r>
      <w:r w:rsidRPr="00BB002F">
        <w:rPr>
          <w:rFonts w:ascii="Times New Roman" w:eastAsia="仿宋_GB2312" w:hAnsi="Times New Roman"/>
          <w:kern w:val="0"/>
          <w:sz w:val="32"/>
          <w:szCs w:val="32"/>
        </w:rPr>
        <w:t>”</w:t>
      </w:r>
      <w:r w:rsidRPr="00BB002F">
        <w:rPr>
          <w:rFonts w:ascii="Times New Roman" w:eastAsia="仿宋_GB2312" w:hAnsi="Times New Roman" w:hint="eastAsia"/>
          <w:kern w:val="0"/>
          <w:sz w:val="32"/>
          <w:szCs w:val="32"/>
        </w:rPr>
        <w:t>导向下，推进体育、美育、劳动教育等构建以生成性、发展性、创造性为典型特征综合性项目化学习的实践，提升学生核心素养。</w:t>
      </w:r>
    </w:p>
    <w:p w:rsidR="001971D8" w:rsidRPr="00BB002F" w:rsidRDefault="001971D8" w:rsidP="00BB002F">
      <w:pPr>
        <w:pStyle w:val="NormalWeb"/>
        <w:widowControl w:val="0"/>
        <w:spacing w:before="0" w:beforeAutospacing="0" w:after="0" w:afterAutospacing="0" w:line="560" w:lineRule="exact"/>
        <w:ind w:firstLineChars="200" w:firstLine="643"/>
        <w:jc w:val="both"/>
        <w:rPr>
          <w:rFonts w:ascii="Times New Roman" w:eastAsia="仿宋_GB2312" w:hAnsi="Times New Roman" w:cs="Times New Roman"/>
          <w:b/>
          <w:bCs/>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三</w:t>
      </w:r>
      <w:r w:rsidRPr="00BB002F">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发展学科素养</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加深学科专业理解。不断地巩固学科本体知识，关注、知悉当代教育思潮、教师专业伦理、学科教育新进展、儿童研究新进展、学习科学新进展等，积极开展学科教学专题研究、学科课程整合与拓展研究等。</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积极参与专业评比。充分认识各级各项学科专业评比与素养大赛的重要意义，明确基本要求，并以此为载体，发动集体力量与作用，积极准备与参与，不断提升专业团队的整体素养。</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四</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体现务实灵活</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激发教师主体意识。集体备课要做到主要任务与次要任务相结合，对于不是自己主要承担的内容，教师同样要去认真思考；要把集体智慧和个性创造相结合，教师要针对学情进行主动调整，不得照搬照抄。</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多样形式集体备课。可以集团校学科教研大组集体备课和成员校教研组集体备课相结合的方式进行。以追求实效性为宗旨，教研组长要做好备课资源的品质审核把关，针对校情开展形式多样的备课，个人备课与集体研讨相结合、名师辅导与组员交流相结合。</w:t>
      </w:r>
    </w:p>
    <w:p w:rsidR="001971D8" w:rsidRPr="00BB002F" w:rsidRDefault="001971D8" w:rsidP="00BB002F">
      <w:pPr>
        <w:pStyle w:val="NormalWeb"/>
        <w:widowControl w:val="0"/>
        <w:spacing w:before="0" w:beforeAutospacing="0" w:after="0" w:afterAutospacing="0" w:line="560" w:lineRule="exact"/>
        <w:ind w:firstLine="640"/>
        <w:jc w:val="both"/>
        <w:rPr>
          <w:rFonts w:ascii="黑体" w:eastAsia="黑体" w:hAnsi="黑体" w:cs="Times New Roman"/>
          <w:sz w:val="32"/>
          <w:szCs w:val="32"/>
        </w:rPr>
      </w:pPr>
      <w:r w:rsidRPr="00BB002F">
        <w:rPr>
          <w:rFonts w:ascii="黑体" w:eastAsia="黑体" w:hAnsi="黑体" w:cs="Times New Roman" w:hint="eastAsia"/>
          <w:sz w:val="32"/>
          <w:szCs w:val="32"/>
        </w:rPr>
        <w:t>四、集体备课的保障措施</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b/>
          <w:bCs/>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一</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健全组织机构。</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集体备课组织工作的主体责任在学校。各类学校分别从集团校、各成员校等层面确定集体备课的核心任务、专业要求；建立学科教研组，并确定教研组长，在组长待遇、经费使用及应有的基础设施上给予保证。各校要制定暑期备课方案，原则上以集团校为单位开展集体备课。</w:t>
      </w:r>
    </w:p>
    <w:p w:rsidR="001971D8" w:rsidRPr="00BB002F" w:rsidRDefault="001971D8" w:rsidP="00BB002F">
      <w:pPr>
        <w:pStyle w:val="NormalWeb"/>
        <w:widowControl w:val="0"/>
        <w:spacing w:before="0" w:beforeAutospacing="0" w:after="0" w:afterAutospacing="0" w:line="560" w:lineRule="exact"/>
        <w:ind w:firstLine="640"/>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每学年开学前两周，各教育集团龙头学校的教学科研处将集团校教研大组组长、各成员校教研组组长名单及联系方式（表格附后）、暑期集体备课方案汇总后发送至瓯海区教育研究院备案。</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b/>
          <w:bCs/>
          <w:sz w:val="32"/>
          <w:szCs w:val="32"/>
        </w:rPr>
      </w:pPr>
      <w:r w:rsidRPr="00BB002F">
        <w:rPr>
          <w:rFonts w:ascii="Times New Roman" w:eastAsia="仿宋_GB2312" w:hAnsi="Times New Roman" w:cs="Times New Roman"/>
          <w:b/>
          <w:bCs/>
          <w:sz w:val="32"/>
          <w:szCs w:val="32"/>
        </w:rPr>
        <w:t>(</w:t>
      </w:r>
      <w:r w:rsidRPr="00BB002F">
        <w:rPr>
          <w:rFonts w:ascii="Times New Roman" w:eastAsia="仿宋_GB2312" w:hAnsi="Times New Roman" w:cs="Times New Roman" w:hint="eastAsia"/>
          <w:b/>
          <w:bCs/>
          <w:sz w:val="32"/>
          <w:szCs w:val="32"/>
        </w:rPr>
        <w:t>二</w:t>
      </w:r>
      <w:r w:rsidRPr="00BB002F">
        <w:rPr>
          <w:rFonts w:ascii="Times New Roman" w:eastAsia="仿宋_GB2312" w:hAnsi="Times New Roman" w:cs="Times New Roman"/>
          <w:b/>
          <w:bCs/>
          <w:sz w:val="32"/>
          <w:szCs w:val="32"/>
        </w:rPr>
        <w:t xml:space="preserve">) </w:t>
      </w:r>
      <w:r w:rsidRPr="00BB002F">
        <w:rPr>
          <w:rFonts w:ascii="Times New Roman" w:eastAsia="仿宋_GB2312" w:hAnsi="Times New Roman" w:cs="Times New Roman" w:hint="eastAsia"/>
          <w:b/>
          <w:bCs/>
          <w:sz w:val="32"/>
          <w:szCs w:val="32"/>
        </w:rPr>
        <w:t>完善指导制度。</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学校建立班子成员联系教研组制度，班子成员要参与并指导教研组的集体备课，要安排精干力量指导毕业班的集体备课工作；学校要针对校情邀请区内外的专家进行专题指导。</w:t>
      </w:r>
    </w:p>
    <w:p w:rsidR="001971D8" w:rsidRPr="00BB002F" w:rsidRDefault="001971D8" w:rsidP="00BB002F">
      <w:pPr>
        <w:pStyle w:val="NormalWeb"/>
        <w:widowControl w:val="0"/>
        <w:spacing w:before="0" w:beforeAutospacing="0" w:after="0" w:afterAutospacing="0" w:line="560" w:lineRule="exact"/>
        <w:ind w:firstLine="643"/>
        <w:jc w:val="both"/>
        <w:rPr>
          <w:rFonts w:ascii="Times New Roman" w:eastAsia="仿宋_GB2312" w:hAnsi="Times New Roman" w:cs="Times New Roman"/>
          <w:sz w:val="32"/>
          <w:szCs w:val="32"/>
        </w:rPr>
      </w:pPr>
      <w:r w:rsidRPr="00BB002F">
        <w:rPr>
          <w:rFonts w:ascii="Times New Roman" w:eastAsia="仿宋_GB2312" w:hAnsi="Times New Roman" w:cs="Times New Roman" w:hint="eastAsia"/>
          <w:sz w:val="32"/>
          <w:szCs w:val="32"/>
        </w:rPr>
        <w:t>加强组长培训。区教育研究院将定期开展教研组长培训和教研组长例会制度，加强组长课程建设，定期组织教研组长的主题培训活动。</w:t>
      </w:r>
    </w:p>
    <w:p w:rsidR="001971D8" w:rsidRPr="00BB002F" w:rsidRDefault="001971D8" w:rsidP="00BB002F">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w:t>
      </w:r>
      <w:r w:rsidRPr="00BB002F">
        <w:rPr>
          <w:rFonts w:ascii="Times New Roman" w:eastAsia="仿宋_GB2312" w:hAnsi="Times New Roman" w:hint="eastAsia"/>
          <w:b/>
          <w:kern w:val="0"/>
          <w:sz w:val="32"/>
          <w:szCs w:val="32"/>
        </w:rPr>
        <w:t>三</w:t>
      </w:r>
      <w:r>
        <w:rPr>
          <w:rFonts w:ascii="Times New Roman" w:eastAsia="仿宋_GB2312" w:hAnsi="Times New Roman"/>
          <w:b/>
          <w:kern w:val="0"/>
          <w:sz w:val="32"/>
          <w:szCs w:val="32"/>
        </w:rPr>
        <w:t xml:space="preserve">) </w:t>
      </w:r>
      <w:r w:rsidRPr="00BB002F">
        <w:rPr>
          <w:rFonts w:ascii="Times New Roman" w:eastAsia="仿宋_GB2312" w:hAnsi="Times New Roman" w:hint="eastAsia"/>
          <w:b/>
          <w:kern w:val="0"/>
          <w:sz w:val="32"/>
          <w:szCs w:val="32"/>
        </w:rPr>
        <w:t>建立奖励机制。</w:t>
      </w:r>
    </w:p>
    <w:p w:rsidR="001971D8" w:rsidRPr="00BB002F" w:rsidRDefault="001971D8" w:rsidP="00BB002F">
      <w:pPr>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区教育局集体备课工作纳入对中小学教育集团团队发展奖励考核的内容体系。</w:t>
      </w:r>
    </w:p>
    <w:p w:rsidR="001971D8" w:rsidRPr="00BB002F" w:rsidRDefault="001971D8" w:rsidP="00BB002F">
      <w:pPr>
        <w:spacing w:line="560" w:lineRule="exact"/>
        <w:ind w:firstLineChars="200" w:firstLine="640"/>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学校要对教研组的集体备课要加强进行过程与效果考核、评估，考核结果作为评优评先的重要依据。</w:t>
      </w:r>
      <w:r w:rsidRPr="00BB002F">
        <w:rPr>
          <w:rFonts w:ascii="Times New Roman" w:eastAsia="仿宋_GB2312" w:hAnsi="Times New Roman"/>
          <w:kern w:val="0"/>
          <w:sz w:val="32"/>
          <w:szCs w:val="32"/>
        </w:rPr>
        <w:t xml:space="preserve"> </w:t>
      </w:r>
    </w:p>
    <w:p w:rsidR="001971D8" w:rsidRDefault="001971D8" w:rsidP="00BB002F">
      <w:pPr>
        <w:spacing w:line="460" w:lineRule="exact"/>
        <w:jc w:val="left"/>
        <w:rPr>
          <w:rFonts w:ascii="Times New Roman" w:eastAsia="仿宋_GB2312" w:hAnsi="Times New Roman"/>
          <w:kern w:val="0"/>
          <w:sz w:val="32"/>
          <w:szCs w:val="32"/>
        </w:rPr>
      </w:pPr>
    </w:p>
    <w:p w:rsidR="001971D8" w:rsidRPr="00BB002F" w:rsidRDefault="001971D8" w:rsidP="00BB002F">
      <w:pPr>
        <w:spacing w:line="460" w:lineRule="exact"/>
        <w:ind w:firstLineChars="200" w:firstLine="640"/>
        <w:jc w:val="left"/>
        <w:rPr>
          <w:rFonts w:ascii="Times New Roman" w:eastAsia="仿宋_GB2312" w:hAnsi="Times New Roman"/>
          <w:kern w:val="0"/>
          <w:sz w:val="32"/>
          <w:szCs w:val="32"/>
        </w:rPr>
      </w:pPr>
      <w:r w:rsidRPr="00BB002F">
        <w:rPr>
          <w:rFonts w:ascii="Times New Roman" w:eastAsia="仿宋_GB2312" w:hAnsi="Times New Roman" w:hint="eastAsia"/>
          <w:kern w:val="0"/>
          <w:sz w:val="32"/>
          <w:szCs w:val="32"/>
        </w:rPr>
        <w:t>附件：集团校教研组长、各成员校教研组长汇总表</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8"/>
        <w:gridCol w:w="952"/>
        <w:gridCol w:w="756"/>
        <w:gridCol w:w="1512"/>
        <w:gridCol w:w="896"/>
        <w:gridCol w:w="1287"/>
        <w:gridCol w:w="938"/>
        <w:gridCol w:w="1274"/>
        <w:gridCol w:w="742"/>
      </w:tblGrid>
      <w:tr w:rsidR="001971D8" w:rsidRPr="00783A65" w:rsidTr="00BB002F">
        <w:trPr>
          <w:trHeight w:val="435"/>
        </w:trPr>
        <w:tc>
          <w:tcPr>
            <w:tcW w:w="1228" w:type="dxa"/>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集团名称</w:t>
            </w:r>
          </w:p>
        </w:tc>
        <w:tc>
          <w:tcPr>
            <w:tcW w:w="952" w:type="dxa"/>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学段</w:t>
            </w:r>
          </w:p>
        </w:tc>
        <w:tc>
          <w:tcPr>
            <w:tcW w:w="756" w:type="dxa"/>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学科</w:t>
            </w:r>
          </w:p>
        </w:tc>
        <w:tc>
          <w:tcPr>
            <w:tcW w:w="6649" w:type="dxa"/>
            <w:gridSpan w:val="6"/>
            <w:tcBorders>
              <w:top w:val="single" w:sz="4" w:space="0" w:color="auto"/>
            </w:tcBorders>
            <w:vAlign w:val="center"/>
          </w:tcPr>
          <w:p w:rsidR="001971D8" w:rsidRPr="00783A65" w:rsidRDefault="001971D8" w:rsidP="00BB002F">
            <w:pPr>
              <w:spacing w:line="280" w:lineRule="exact"/>
              <w:ind w:firstLineChars="850" w:firstLine="2040"/>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组长姓名及相关信息</w:t>
            </w:r>
          </w:p>
        </w:tc>
      </w:tr>
      <w:tr w:rsidR="001971D8" w:rsidRPr="00783A65" w:rsidTr="00BB002F">
        <w:trPr>
          <w:trHeight w:val="422"/>
        </w:trPr>
        <w:tc>
          <w:tcPr>
            <w:tcW w:w="1228" w:type="dxa"/>
            <w:vMerge w:val="restart"/>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val="restart"/>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restart"/>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语文</w:t>
            </w:r>
          </w:p>
        </w:tc>
        <w:tc>
          <w:tcPr>
            <w:tcW w:w="1512" w:type="dxa"/>
            <w:tcBorders>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对象</w:t>
            </w:r>
          </w:p>
        </w:tc>
        <w:tc>
          <w:tcPr>
            <w:tcW w:w="896" w:type="dxa"/>
            <w:tcBorders>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姓名</w:t>
            </w:r>
          </w:p>
        </w:tc>
        <w:tc>
          <w:tcPr>
            <w:tcW w:w="1287" w:type="dxa"/>
            <w:tcBorders>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手机全号</w:t>
            </w:r>
          </w:p>
        </w:tc>
        <w:tc>
          <w:tcPr>
            <w:tcW w:w="938" w:type="dxa"/>
            <w:tcBorders>
              <w:left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短号</w:t>
            </w:r>
          </w:p>
        </w:tc>
        <w:tc>
          <w:tcPr>
            <w:tcW w:w="1274" w:type="dxa"/>
            <w:tcBorders>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所在学校</w:t>
            </w:r>
          </w:p>
        </w:tc>
        <w:tc>
          <w:tcPr>
            <w:tcW w:w="742" w:type="dxa"/>
            <w:tcBorders>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备注</w:t>
            </w:r>
          </w:p>
        </w:tc>
      </w:tr>
      <w:tr w:rsidR="001971D8" w:rsidRPr="00783A65" w:rsidTr="00BB002F">
        <w:trPr>
          <w:trHeight w:val="279"/>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512" w:type="dxa"/>
            <w:tcBorders>
              <w:top w:val="single" w:sz="4" w:space="0" w:color="auto"/>
              <w:bottom w:val="single" w:sz="4" w:space="0" w:color="auto"/>
              <w:right w:val="single" w:sz="4" w:space="0" w:color="auto"/>
            </w:tcBorders>
            <w:vAlign w:val="center"/>
          </w:tcPr>
          <w:p w:rsidR="001971D8" w:rsidRPr="00783A65" w:rsidRDefault="001971D8" w:rsidP="00BB002F">
            <w:pPr>
              <w:spacing w:line="280" w:lineRule="exact"/>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集团校教研大组组长</w:t>
            </w: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r>
      <w:tr w:rsidR="001971D8" w:rsidRPr="00783A65" w:rsidTr="00BB002F">
        <w:trPr>
          <w:trHeight w:val="379"/>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512" w:type="dxa"/>
            <w:vMerge w:val="restart"/>
            <w:tcBorders>
              <w:top w:val="single" w:sz="4" w:space="0" w:color="auto"/>
              <w:right w:val="single" w:sz="4" w:space="0" w:color="auto"/>
            </w:tcBorders>
            <w:vAlign w:val="center"/>
          </w:tcPr>
          <w:p w:rsidR="001971D8" w:rsidRPr="00783A65" w:rsidRDefault="001971D8" w:rsidP="00BB002F">
            <w:pPr>
              <w:spacing w:line="280" w:lineRule="exact"/>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成员校教研组组长</w:t>
            </w: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r>
      <w:tr w:rsidR="001971D8" w:rsidRPr="00783A65" w:rsidTr="00BB002F">
        <w:trPr>
          <w:trHeight w:val="422"/>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512" w:type="dxa"/>
            <w:vMerge/>
            <w:tcBorders>
              <w:right w:val="single" w:sz="4" w:space="0" w:color="auto"/>
            </w:tcBorders>
            <w:vAlign w:val="center"/>
          </w:tcPr>
          <w:p w:rsidR="001971D8" w:rsidRPr="00783A65" w:rsidRDefault="001971D8" w:rsidP="00BB002F">
            <w:pPr>
              <w:spacing w:line="280" w:lineRule="exact"/>
              <w:rPr>
                <w:rFonts w:ascii="仿宋_GB2312" w:eastAsia="仿宋_GB2312" w:hAnsi="宋体" w:cs="宋体"/>
                <w:kern w:val="0"/>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r>
      <w:tr w:rsidR="001971D8" w:rsidRPr="00783A65" w:rsidTr="00BB002F">
        <w:trPr>
          <w:trHeight w:val="380"/>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tcBorders>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512" w:type="dxa"/>
            <w:vMerge/>
            <w:tcBorders>
              <w:bottom w:val="single" w:sz="4" w:space="0" w:color="auto"/>
              <w:right w:val="single" w:sz="4" w:space="0" w:color="auto"/>
            </w:tcBorders>
            <w:vAlign w:val="center"/>
          </w:tcPr>
          <w:p w:rsidR="001971D8" w:rsidRPr="00783A65" w:rsidRDefault="001971D8" w:rsidP="00BB002F">
            <w:pPr>
              <w:spacing w:line="280" w:lineRule="exact"/>
              <w:rPr>
                <w:rFonts w:ascii="仿宋_GB2312" w:eastAsia="仿宋_GB2312" w:hAnsi="宋体" w:cs="宋体"/>
                <w:kern w:val="0"/>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r>
      <w:tr w:rsidR="001971D8" w:rsidRPr="00783A65" w:rsidTr="00BB002F">
        <w:trPr>
          <w:trHeight w:val="526"/>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restart"/>
            <w:tcBorders>
              <w:top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数学</w:t>
            </w:r>
          </w:p>
        </w:tc>
        <w:tc>
          <w:tcPr>
            <w:tcW w:w="1512" w:type="dxa"/>
            <w:tcBorders>
              <w:bottom w:val="single" w:sz="4" w:space="0" w:color="auto"/>
              <w:right w:val="single" w:sz="4" w:space="0" w:color="auto"/>
            </w:tcBorders>
            <w:vAlign w:val="center"/>
          </w:tcPr>
          <w:p w:rsidR="001971D8" w:rsidRPr="00783A65" w:rsidRDefault="001971D8" w:rsidP="00BB002F">
            <w:pPr>
              <w:spacing w:line="280" w:lineRule="exact"/>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集团校教研大组组长</w:t>
            </w:r>
          </w:p>
        </w:tc>
        <w:tc>
          <w:tcPr>
            <w:tcW w:w="896" w:type="dxa"/>
            <w:tcBorders>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87" w:type="dxa"/>
            <w:tcBorders>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938" w:type="dxa"/>
            <w:tcBorders>
              <w:left w:val="single" w:sz="4" w:space="0" w:color="auto"/>
              <w:bottom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74" w:type="dxa"/>
            <w:tcBorders>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c>
          <w:tcPr>
            <w:tcW w:w="742" w:type="dxa"/>
            <w:tcBorders>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r>
      <w:tr w:rsidR="001971D8" w:rsidRPr="00783A65" w:rsidTr="00BB002F">
        <w:trPr>
          <w:trHeight w:val="419"/>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512" w:type="dxa"/>
            <w:vMerge w:val="restart"/>
            <w:tcBorders>
              <w:top w:val="single" w:sz="4" w:space="0" w:color="auto"/>
              <w:right w:val="single" w:sz="4" w:space="0" w:color="auto"/>
            </w:tcBorders>
            <w:vAlign w:val="center"/>
          </w:tcPr>
          <w:p w:rsidR="001971D8" w:rsidRPr="00783A65" w:rsidRDefault="001971D8" w:rsidP="00BB002F">
            <w:pPr>
              <w:spacing w:line="280" w:lineRule="exact"/>
              <w:rPr>
                <w:rFonts w:ascii="仿宋_GB2312" w:eastAsia="仿宋_GB2312" w:hAnsi="宋体" w:cs="宋体"/>
                <w:kern w:val="0"/>
                <w:sz w:val="24"/>
                <w:szCs w:val="24"/>
              </w:rPr>
            </w:pPr>
            <w:r w:rsidRPr="00783A65">
              <w:rPr>
                <w:rFonts w:ascii="仿宋_GB2312" w:eastAsia="仿宋_GB2312" w:hAnsi="宋体" w:cs="宋体" w:hint="eastAsia"/>
                <w:kern w:val="0"/>
                <w:sz w:val="24"/>
                <w:szCs w:val="24"/>
              </w:rPr>
              <w:t>成员校教研组组长</w:t>
            </w: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r>
      <w:tr w:rsidR="001971D8" w:rsidRPr="00783A65" w:rsidTr="00BB002F">
        <w:trPr>
          <w:trHeight w:val="328"/>
        </w:trPr>
        <w:tc>
          <w:tcPr>
            <w:tcW w:w="1228"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512" w:type="dxa"/>
            <w:vMerge/>
            <w:tcBorders>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r>
      <w:tr w:rsidR="001971D8" w:rsidRPr="00783A65" w:rsidTr="00BB002F">
        <w:trPr>
          <w:trHeight w:val="419"/>
        </w:trPr>
        <w:tc>
          <w:tcPr>
            <w:tcW w:w="1228" w:type="dxa"/>
            <w:vMerge/>
            <w:tcBorders>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952" w:type="dxa"/>
            <w:vMerge/>
            <w:tcBorders>
              <w:left w:val="single" w:sz="4" w:space="0" w:color="auto"/>
              <w:bottom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756" w:type="dxa"/>
            <w:vMerge/>
            <w:tcBorders>
              <w:bottom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512" w:type="dxa"/>
            <w:vMerge/>
            <w:tcBorders>
              <w:bottom w:val="single" w:sz="4" w:space="0" w:color="auto"/>
              <w:right w:val="single" w:sz="4" w:space="0" w:color="auto"/>
            </w:tcBorders>
            <w:vAlign w:val="center"/>
          </w:tcPr>
          <w:p w:rsidR="001971D8" w:rsidRPr="00783A65" w:rsidRDefault="001971D8" w:rsidP="00BB002F">
            <w:pPr>
              <w:spacing w:line="280" w:lineRule="exact"/>
              <w:jc w:val="center"/>
              <w:rPr>
                <w:rFonts w:ascii="仿宋_GB2312" w:eastAsia="仿宋_GB2312" w:hAnsi="宋体" w:cs="宋体"/>
                <w:kern w:val="0"/>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938" w:type="dxa"/>
            <w:tcBorders>
              <w:top w:val="single" w:sz="4" w:space="0" w:color="auto"/>
              <w:left w:val="single" w:sz="4" w:space="0" w:color="auto"/>
              <w:bottom w:val="single" w:sz="4" w:space="0" w:color="auto"/>
            </w:tcBorders>
            <w:vAlign w:val="center"/>
          </w:tcPr>
          <w:p w:rsidR="001971D8" w:rsidRPr="00783A65" w:rsidRDefault="001971D8" w:rsidP="00BB002F">
            <w:pPr>
              <w:spacing w:line="280" w:lineRule="exact"/>
              <w:ind w:right="31"/>
              <w:jc w:val="center"/>
              <w:rPr>
                <w:rFonts w:ascii="仿宋_GB2312" w:eastAsia="仿宋_GB2312" w:hAnsi="宋体" w:cs="宋体"/>
                <w:kern w:val="0"/>
                <w:sz w:val="24"/>
                <w:szCs w:val="24"/>
              </w:rPr>
            </w:pPr>
          </w:p>
        </w:tc>
        <w:tc>
          <w:tcPr>
            <w:tcW w:w="1274" w:type="dxa"/>
            <w:tcBorders>
              <w:top w:val="single" w:sz="4" w:space="0" w:color="auto"/>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c>
          <w:tcPr>
            <w:tcW w:w="742" w:type="dxa"/>
            <w:tcBorders>
              <w:top w:val="single" w:sz="4" w:space="0" w:color="auto"/>
              <w:bottom w:val="single" w:sz="4" w:space="0" w:color="auto"/>
            </w:tcBorders>
            <w:vAlign w:val="center"/>
          </w:tcPr>
          <w:p w:rsidR="001971D8" w:rsidRPr="00783A65" w:rsidRDefault="001971D8" w:rsidP="00BB002F">
            <w:pPr>
              <w:spacing w:line="280" w:lineRule="exact"/>
              <w:ind w:left="106" w:right="31"/>
              <w:jc w:val="center"/>
              <w:rPr>
                <w:rFonts w:ascii="仿宋_GB2312" w:eastAsia="仿宋_GB2312" w:hAnsi="宋体" w:cs="宋体"/>
                <w:kern w:val="0"/>
                <w:sz w:val="24"/>
                <w:szCs w:val="24"/>
              </w:rPr>
            </w:pPr>
          </w:p>
        </w:tc>
      </w:tr>
    </w:tbl>
    <w:p w:rsidR="001971D8" w:rsidRDefault="001971D8" w:rsidP="00464FB1">
      <w:pPr>
        <w:spacing w:line="240" w:lineRule="exact"/>
        <w:ind w:left="108" w:right="-10"/>
        <w:rPr>
          <w:rFonts w:ascii="仿宋_GB2312" w:eastAsia="仿宋_GB2312" w:hAnsi="宋体" w:cs="宋体"/>
          <w:kern w:val="0"/>
          <w:szCs w:val="21"/>
        </w:rPr>
      </w:pPr>
    </w:p>
    <w:p w:rsidR="001971D8" w:rsidRPr="002A21D3" w:rsidRDefault="001971D8" w:rsidP="00464FB1">
      <w:pPr>
        <w:spacing w:line="240" w:lineRule="exact"/>
        <w:ind w:left="108" w:right="-10"/>
        <w:rPr>
          <w:rFonts w:ascii="仿宋_GB2312" w:eastAsia="仿宋_GB2312" w:hAnsi="宋体" w:cs="宋体"/>
          <w:kern w:val="0"/>
          <w:sz w:val="28"/>
          <w:szCs w:val="30"/>
        </w:rPr>
      </w:pPr>
      <w:r w:rsidRPr="002A21D3">
        <w:rPr>
          <w:rFonts w:ascii="仿宋_GB2312" w:eastAsia="仿宋_GB2312" w:hAnsi="宋体" w:cs="宋体" w:hint="eastAsia"/>
          <w:kern w:val="0"/>
          <w:szCs w:val="21"/>
        </w:rPr>
        <w:t>注：各教育集团龙头学校的教学科研处填写。表格行数，可自行增减。</w:t>
      </w:r>
    </w:p>
    <w:sectPr w:rsidR="001971D8" w:rsidRPr="002A21D3" w:rsidSect="00BB002F">
      <w:footerReference w:type="default" r:id="rId6"/>
      <w:pgSz w:w="11906" w:h="16838" w:code="9"/>
      <w:pgMar w:top="2098" w:right="1418" w:bottom="1985" w:left="141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D8" w:rsidRDefault="001971D8" w:rsidP="00E249E6">
      <w:r>
        <w:separator/>
      </w:r>
    </w:p>
  </w:endnote>
  <w:endnote w:type="continuationSeparator" w:id="0">
    <w:p w:rsidR="001971D8" w:rsidRDefault="001971D8" w:rsidP="00E24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D8" w:rsidRDefault="001971D8">
    <w:pPr>
      <w:pStyle w:val="Footer"/>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D8" w:rsidRDefault="001971D8" w:rsidP="00E249E6">
      <w:r>
        <w:separator/>
      </w:r>
    </w:p>
  </w:footnote>
  <w:footnote w:type="continuationSeparator" w:id="0">
    <w:p w:rsidR="001971D8" w:rsidRDefault="001971D8" w:rsidP="00E24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2F7"/>
    <w:rsid w:val="00014C59"/>
    <w:rsid w:val="00017A0F"/>
    <w:rsid w:val="000254C6"/>
    <w:rsid w:val="00043341"/>
    <w:rsid w:val="00054157"/>
    <w:rsid w:val="0005575B"/>
    <w:rsid w:val="00063027"/>
    <w:rsid w:val="000656DF"/>
    <w:rsid w:val="00067E28"/>
    <w:rsid w:val="000741EA"/>
    <w:rsid w:val="00094686"/>
    <w:rsid w:val="000C1B54"/>
    <w:rsid w:val="000C699A"/>
    <w:rsid w:val="000D0758"/>
    <w:rsid w:val="000D559D"/>
    <w:rsid w:val="000E39DB"/>
    <w:rsid w:val="000E4C5C"/>
    <w:rsid w:val="000F568A"/>
    <w:rsid w:val="00103821"/>
    <w:rsid w:val="00113F2E"/>
    <w:rsid w:val="00125BBB"/>
    <w:rsid w:val="00131EAE"/>
    <w:rsid w:val="00132B96"/>
    <w:rsid w:val="0013645B"/>
    <w:rsid w:val="00145545"/>
    <w:rsid w:val="00151B71"/>
    <w:rsid w:val="00177C5D"/>
    <w:rsid w:val="001971D8"/>
    <w:rsid w:val="001A0272"/>
    <w:rsid w:val="001A2F62"/>
    <w:rsid w:val="001B4256"/>
    <w:rsid w:val="001B546D"/>
    <w:rsid w:val="001D04F9"/>
    <w:rsid w:val="001F6391"/>
    <w:rsid w:val="00201292"/>
    <w:rsid w:val="0020452D"/>
    <w:rsid w:val="00204631"/>
    <w:rsid w:val="002164AA"/>
    <w:rsid w:val="00221EC8"/>
    <w:rsid w:val="00224A0F"/>
    <w:rsid w:val="002348FF"/>
    <w:rsid w:val="00250140"/>
    <w:rsid w:val="00255A65"/>
    <w:rsid w:val="00266268"/>
    <w:rsid w:val="002733FD"/>
    <w:rsid w:val="0028301C"/>
    <w:rsid w:val="00290BDD"/>
    <w:rsid w:val="0029354C"/>
    <w:rsid w:val="00294D5A"/>
    <w:rsid w:val="00295161"/>
    <w:rsid w:val="002958CB"/>
    <w:rsid w:val="002A21D3"/>
    <w:rsid w:val="002A7EF9"/>
    <w:rsid w:val="002C441D"/>
    <w:rsid w:val="002C6948"/>
    <w:rsid w:val="002F7CE7"/>
    <w:rsid w:val="00302029"/>
    <w:rsid w:val="00320F9E"/>
    <w:rsid w:val="00324A57"/>
    <w:rsid w:val="00327811"/>
    <w:rsid w:val="003375B8"/>
    <w:rsid w:val="00340399"/>
    <w:rsid w:val="00344241"/>
    <w:rsid w:val="003562F7"/>
    <w:rsid w:val="003658D1"/>
    <w:rsid w:val="00382B4A"/>
    <w:rsid w:val="003876C5"/>
    <w:rsid w:val="003B72A3"/>
    <w:rsid w:val="003E3F7B"/>
    <w:rsid w:val="003E498A"/>
    <w:rsid w:val="003F7849"/>
    <w:rsid w:val="003F7CEF"/>
    <w:rsid w:val="00400425"/>
    <w:rsid w:val="0040103B"/>
    <w:rsid w:val="00415F5F"/>
    <w:rsid w:val="00423717"/>
    <w:rsid w:val="004237D3"/>
    <w:rsid w:val="00441A25"/>
    <w:rsid w:val="00443A4D"/>
    <w:rsid w:val="00464FB1"/>
    <w:rsid w:val="0046645E"/>
    <w:rsid w:val="004816AB"/>
    <w:rsid w:val="00491A4C"/>
    <w:rsid w:val="00493A63"/>
    <w:rsid w:val="004A45B7"/>
    <w:rsid w:val="004D3852"/>
    <w:rsid w:val="004F71EA"/>
    <w:rsid w:val="00512888"/>
    <w:rsid w:val="00513949"/>
    <w:rsid w:val="00521827"/>
    <w:rsid w:val="00522ADE"/>
    <w:rsid w:val="0053525B"/>
    <w:rsid w:val="00550658"/>
    <w:rsid w:val="0056025B"/>
    <w:rsid w:val="00563158"/>
    <w:rsid w:val="005810DA"/>
    <w:rsid w:val="00583ADA"/>
    <w:rsid w:val="005A2238"/>
    <w:rsid w:val="005A4490"/>
    <w:rsid w:val="005E1742"/>
    <w:rsid w:val="005E1CC8"/>
    <w:rsid w:val="005F06FD"/>
    <w:rsid w:val="006263BD"/>
    <w:rsid w:val="006319AD"/>
    <w:rsid w:val="0063435B"/>
    <w:rsid w:val="00634879"/>
    <w:rsid w:val="00645609"/>
    <w:rsid w:val="006509C1"/>
    <w:rsid w:val="006610E9"/>
    <w:rsid w:val="00665CAF"/>
    <w:rsid w:val="00692935"/>
    <w:rsid w:val="006A7181"/>
    <w:rsid w:val="006A7CC5"/>
    <w:rsid w:val="006C3D9E"/>
    <w:rsid w:val="006C5135"/>
    <w:rsid w:val="006D040A"/>
    <w:rsid w:val="006E3DA6"/>
    <w:rsid w:val="006F7B35"/>
    <w:rsid w:val="00702AC9"/>
    <w:rsid w:val="00704961"/>
    <w:rsid w:val="007203F8"/>
    <w:rsid w:val="00753E04"/>
    <w:rsid w:val="007638A0"/>
    <w:rsid w:val="00772DF3"/>
    <w:rsid w:val="007775E4"/>
    <w:rsid w:val="0078286E"/>
    <w:rsid w:val="00782903"/>
    <w:rsid w:val="00783A65"/>
    <w:rsid w:val="00787B21"/>
    <w:rsid w:val="00795954"/>
    <w:rsid w:val="007A4747"/>
    <w:rsid w:val="007B2C82"/>
    <w:rsid w:val="007C1DE9"/>
    <w:rsid w:val="007D39A2"/>
    <w:rsid w:val="007D6093"/>
    <w:rsid w:val="007D7EFF"/>
    <w:rsid w:val="007E1649"/>
    <w:rsid w:val="00803A72"/>
    <w:rsid w:val="0080515A"/>
    <w:rsid w:val="00817E5F"/>
    <w:rsid w:val="0082264C"/>
    <w:rsid w:val="00877365"/>
    <w:rsid w:val="00880B03"/>
    <w:rsid w:val="00881955"/>
    <w:rsid w:val="008B11F8"/>
    <w:rsid w:val="008B4318"/>
    <w:rsid w:val="008D1DAC"/>
    <w:rsid w:val="008D2944"/>
    <w:rsid w:val="008F4F00"/>
    <w:rsid w:val="00903C76"/>
    <w:rsid w:val="00903D02"/>
    <w:rsid w:val="00904128"/>
    <w:rsid w:val="00907FB8"/>
    <w:rsid w:val="00924BAB"/>
    <w:rsid w:val="009520C7"/>
    <w:rsid w:val="009532B3"/>
    <w:rsid w:val="0096489F"/>
    <w:rsid w:val="009660F3"/>
    <w:rsid w:val="00972E4C"/>
    <w:rsid w:val="0098155C"/>
    <w:rsid w:val="009833CB"/>
    <w:rsid w:val="00986D8B"/>
    <w:rsid w:val="00996BEC"/>
    <w:rsid w:val="009A1B6F"/>
    <w:rsid w:val="00A0444A"/>
    <w:rsid w:val="00A1464A"/>
    <w:rsid w:val="00A211C8"/>
    <w:rsid w:val="00A221AF"/>
    <w:rsid w:val="00A25EF6"/>
    <w:rsid w:val="00A33B8B"/>
    <w:rsid w:val="00A367B5"/>
    <w:rsid w:val="00A50F43"/>
    <w:rsid w:val="00A60D7D"/>
    <w:rsid w:val="00A7232C"/>
    <w:rsid w:val="00A74444"/>
    <w:rsid w:val="00A93116"/>
    <w:rsid w:val="00A940F7"/>
    <w:rsid w:val="00AC626C"/>
    <w:rsid w:val="00AD0C88"/>
    <w:rsid w:val="00AD0EEA"/>
    <w:rsid w:val="00AD4854"/>
    <w:rsid w:val="00B275F7"/>
    <w:rsid w:val="00B44433"/>
    <w:rsid w:val="00B70448"/>
    <w:rsid w:val="00B9103A"/>
    <w:rsid w:val="00BA4800"/>
    <w:rsid w:val="00BA74E9"/>
    <w:rsid w:val="00BB002F"/>
    <w:rsid w:val="00BC6BAA"/>
    <w:rsid w:val="00BC7276"/>
    <w:rsid w:val="00BE4298"/>
    <w:rsid w:val="00C1449B"/>
    <w:rsid w:val="00C21B7F"/>
    <w:rsid w:val="00C333C9"/>
    <w:rsid w:val="00C46A20"/>
    <w:rsid w:val="00C55788"/>
    <w:rsid w:val="00C6189A"/>
    <w:rsid w:val="00CB1540"/>
    <w:rsid w:val="00CC3920"/>
    <w:rsid w:val="00CC5DA4"/>
    <w:rsid w:val="00CF2559"/>
    <w:rsid w:val="00D103F5"/>
    <w:rsid w:val="00D37CC7"/>
    <w:rsid w:val="00D52BAF"/>
    <w:rsid w:val="00D6103F"/>
    <w:rsid w:val="00D70655"/>
    <w:rsid w:val="00D74C43"/>
    <w:rsid w:val="00D753EF"/>
    <w:rsid w:val="00D76DBD"/>
    <w:rsid w:val="00D833C1"/>
    <w:rsid w:val="00D87351"/>
    <w:rsid w:val="00DA7DA1"/>
    <w:rsid w:val="00DD5B94"/>
    <w:rsid w:val="00DD78DA"/>
    <w:rsid w:val="00DD7C25"/>
    <w:rsid w:val="00DE0051"/>
    <w:rsid w:val="00DF4032"/>
    <w:rsid w:val="00E013E7"/>
    <w:rsid w:val="00E16846"/>
    <w:rsid w:val="00E249E6"/>
    <w:rsid w:val="00E7131C"/>
    <w:rsid w:val="00E73754"/>
    <w:rsid w:val="00E74C64"/>
    <w:rsid w:val="00E86651"/>
    <w:rsid w:val="00E9692B"/>
    <w:rsid w:val="00EA53C1"/>
    <w:rsid w:val="00EC5E7C"/>
    <w:rsid w:val="00ED0A11"/>
    <w:rsid w:val="00EE4A1A"/>
    <w:rsid w:val="00EE5E86"/>
    <w:rsid w:val="00EE7075"/>
    <w:rsid w:val="00EF7271"/>
    <w:rsid w:val="00EF75DF"/>
    <w:rsid w:val="00F139B9"/>
    <w:rsid w:val="00F27585"/>
    <w:rsid w:val="00F41C8A"/>
    <w:rsid w:val="00F57BE7"/>
    <w:rsid w:val="00F7134D"/>
    <w:rsid w:val="00F7714A"/>
    <w:rsid w:val="00F826A4"/>
    <w:rsid w:val="00F83802"/>
    <w:rsid w:val="00FB07FF"/>
    <w:rsid w:val="00FC2320"/>
    <w:rsid w:val="00FD14DC"/>
    <w:rsid w:val="00FD33E8"/>
    <w:rsid w:val="00FE0560"/>
    <w:rsid w:val="00FE1D44"/>
    <w:rsid w:val="00FE4B82"/>
    <w:rsid w:val="00FF64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F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62F7"/>
    <w:rPr>
      <w:rFonts w:cs="Times New Roman"/>
      <w:color w:val="0000FF"/>
      <w:u w:val="single"/>
    </w:rPr>
  </w:style>
  <w:style w:type="paragraph" w:styleId="Header">
    <w:name w:val="header"/>
    <w:basedOn w:val="Normal"/>
    <w:link w:val="HeaderChar"/>
    <w:uiPriority w:val="99"/>
    <w:rsid w:val="00E249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249E6"/>
    <w:rPr>
      <w:rFonts w:cs="Times New Roman"/>
      <w:sz w:val="18"/>
      <w:szCs w:val="18"/>
    </w:rPr>
  </w:style>
  <w:style w:type="paragraph" w:styleId="Footer">
    <w:name w:val="footer"/>
    <w:basedOn w:val="Normal"/>
    <w:link w:val="FooterChar"/>
    <w:uiPriority w:val="99"/>
    <w:rsid w:val="00E249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249E6"/>
    <w:rPr>
      <w:rFonts w:cs="Times New Roman"/>
      <w:sz w:val="18"/>
      <w:szCs w:val="18"/>
    </w:rPr>
  </w:style>
  <w:style w:type="paragraph" w:styleId="BalloonText">
    <w:name w:val="Balloon Text"/>
    <w:basedOn w:val="Normal"/>
    <w:link w:val="BalloonTextChar"/>
    <w:uiPriority w:val="99"/>
    <w:semiHidden/>
    <w:rsid w:val="00A940F7"/>
    <w:rPr>
      <w:sz w:val="18"/>
      <w:szCs w:val="18"/>
    </w:rPr>
  </w:style>
  <w:style w:type="character" w:customStyle="1" w:styleId="BalloonTextChar">
    <w:name w:val="Balloon Text Char"/>
    <w:basedOn w:val="DefaultParagraphFont"/>
    <w:link w:val="BalloonText"/>
    <w:uiPriority w:val="99"/>
    <w:semiHidden/>
    <w:locked/>
    <w:rsid w:val="00A940F7"/>
    <w:rPr>
      <w:rFonts w:cs="Times New Roman"/>
      <w:sz w:val="18"/>
      <w:szCs w:val="18"/>
    </w:rPr>
  </w:style>
  <w:style w:type="table" w:styleId="TableGrid">
    <w:name w:val="Table Grid"/>
    <w:basedOn w:val="TableNormal"/>
    <w:uiPriority w:val="99"/>
    <w:rsid w:val="00880B0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876C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C5135"/>
    <w:rPr>
      <w:rFonts w:cs="Times New Roman"/>
      <w:b/>
      <w:bCs/>
    </w:rPr>
  </w:style>
</w:styles>
</file>

<file path=word/webSettings.xml><?xml version="1.0" encoding="utf-8"?>
<w:webSettings xmlns:r="http://schemas.openxmlformats.org/officeDocument/2006/relationships" xmlns:w="http://schemas.openxmlformats.org/wordprocessingml/2006/main">
  <w:divs>
    <w:div w:id="66808988">
      <w:marLeft w:val="0"/>
      <w:marRight w:val="0"/>
      <w:marTop w:val="0"/>
      <w:marBottom w:val="0"/>
      <w:divBdr>
        <w:top w:val="none" w:sz="0" w:space="0" w:color="auto"/>
        <w:left w:val="none" w:sz="0" w:space="0" w:color="auto"/>
        <w:bottom w:val="none" w:sz="0" w:space="0" w:color="auto"/>
        <w:right w:val="none" w:sz="0" w:space="0" w:color="auto"/>
      </w:divBdr>
    </w:div>
    <w:div w:id="66808989">
      <w:marLeft w:val="0"/>
      <w:marRight w:val="0"/>
      <w:marTop w:val="0"/>
      <w:marBottom w:val="0"/>
      <w:divBdr>
        <w:top w:val="none" w:sz="0" w:space="0" w:color="auto"/>
        <w:left w:val="none" w:sz="0" w:space="0" w:color="auto"/>
        <w:bottom w:val="none" w:sz="0" w:space="0" w:color="auto"/>
        <w:right w:val="none" w:sz="0" w:space="0" w:color="auto"/>
      </w:divBdr>
      <w:divsChild>
        <w:div w:id="66808986">
          <w:marLeft w:val="0"/>
          <w:marRight w:val="0"/>
          <w:marTop w:val="0"/>
          <w:marBottom w:val="0"/>
          <w:divBdr>
            <w:top w:val="none" w:sz="0" w:space="0" w:color="auto"/>
            <w:left w:val="none" w:sz="0" w:space="0" w:color="auto"/>
            <w:bottom w:val="none" w:sz="0" w:space="0" w:color="auto"/>
            <w:right w:val="none" w:sz="0" w:space="0" w:color="auto"/>
          </w:divBdr>
        </w:div>
      </w:divsChild>
    </w:div>
    <w:div w:id="66808990">
      <w:marLeft w:val="0"/>
      <w:marRight w:val="0"/>
      <w:marTop w:val="0"/>
      <w:marBottom w:val="0"/>
      <w:divBdr>
        <w:top w:val="none" w:sz="0" w:space="0" w:color="auto"/>
        <w:left w:val="none" w:sz="0" w:space="0" w:color="auto"/>
        <w:bottom w:val="none" w:sz="0" w:space="0" w:color="auto"/>
        <w:right w:val="none" w:sz="0" w:space="0" w:color="auto"/>
      </w:divBdr>
      <w:divsChild>
        <w:div w:id="6680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453</TotalTime>
  <Pages>6</Pages>
  <Words>440</Words>
  <Characters>2514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杨荣波</dc:creator>
  <cp:keywords/>
  <dc:description/>
  <cp:lastModifiedBy>马凤</cp:lastModifiedBy>
  <cp:revision>53</cp:revision>
  <cp:lastPrinted>2021-03-01T02:12:00Z</cp:lastPrinted>
  <dcterms:created xsi:type="dcterms:W3CDTF">2019-06-27T05:31:00Z</dcterms:created>
  <dcterms:modified xsi:type="dcterms:W3CDTF">2021-07-20T08:27:00Z</dcterms:modified>
</cp:coreProperties>
</file>