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textAlignment w:val="center"/>
        <w:rPr>
          <w:rFonts w:hint="eastAsia" w:ascii="黑体" w:hAnsi="黑体" w:eastAsia="黑体" w:cs="黑体"/>
          <w:b w:val="0"/>
          <w:bCs/>
          <w:i w:val="0"/>
          <w:color w:val="auto"/>
          <w:kern w:val="0"/>
          <w:sz w:val="32"/>
          <w:szCs w:val="32"/>
          <w:u w:val="none"/>
          <w:lang w:val="en-US" w:eastAsia="zh-CN" w:bidi="ar"/>
        </w:rPr>
      </w:pPr>
      <w:r>
        <w:rPr>
          <w:rFonts w:hint="eastAsia" w:ascii="黑体" w:hAnsi="黑体" w:eastAsia="黑体" w:cs="黑体"/>
          <w:b w:val="0"/>
          <w:bCs/>
          <w:i w:val="0"/>
          <w:color w:val="auto"/>
          <w:kern w:val="0"/>
          <w:sz w:val="32"/>
          <w:szCs w:val="32"/>
          <w:u w:val="none"/>
          <w:lang w:val="en-US" w:eastAsia="zh-CN" w:bidi="ar"/>
        </w:rPr>
        <w:t>附件2</w:t>
      </w:r>
    </w:p>
    <w:p>
      <w:pPr>
        <w:keepNext w:val="0"/>
        <w:keepLines w:val="0"/>
        <w:widowControl/>
        <w:suppressLineNumbers w:val="0"/>
        <w:jc w:val="center"/>
        <w:textAlignment w:val="center"/>
        <w:rPr>
          <w:rFonts w:hint="eastAsia" w:ascii="方正小标宋简体" w:hAnsi="方正小标宋简体" w:eastAsia="方正小标宋简体" w:cs="方正小标宋简体"/>
          <w:b w:val="0"/>
          <w:bCs/>
          <w:i w:val="0"/>
          <w:color w:val="auto"/>
          <w:kern w:val="0"/>
          <w:sz w:val="44"/>
          <w:szCs w:val="44"/>
          <w:u w:val="none"/>
          <w:lang w:val="en-US" w:eastAsia="zh-CN" w:bidi="ar"/>
        </w:rPr>
      </w:pPr>
      <w:bookmarkStart w:id="0" w:name="_GoBack"/>
      <w:r>
        <w:rPr>
          <w:rFonts w:hint="eastAsia" w:ascii="方正小标宋简体" w:hAnsi="方正小标宋简体" w:eastAsia="方正小标宋简体" w:cs="方正小标宋简体"/>
          <w:b w:val="0"/>
          <w:bCs/>
          <w:i w:val="0"/>
          <w:color w:val="auto"/>
          <w:kern w:val="0"/>
          <w:sz w:val="44"/>
          <w:szCs w:val="44"/>
          <w:u w:val="none"/>
          <w:lang w:val="en-US" w:eastAsia="zh-CN" w:bidi="ar"/>
        </w:rPr>
        <w:t>瓯海区镇街行政执法事项目录清单（新桥街道、瞿溪街道除外）</w:t>
      </w:r>
    </w:p>
    <w:bookmarkEnd w:id="0"/>
    <w:p>
      <w:pPr>
        <w:jc w:val="center"/>
        <w:rPr>
          <w:rFonts w:hint="eastAsia" w:ascii="楷体_GB2312" w:hAnsi="楷体_GB2312" w:eastAsia="楷体_GB2312" w:cs="楷体_GB2312"/>
          <w:bCs/>
        </w:rPr>
      </w:pPr>
      <w:r>
        <w:rPr>
          <w:rFonts w:hint="eastAsia" w:ascii="楷体_GB2312" w:hAnsi="楷体_GB2312" w:eastAsia="楷体_GB2312" w:cs="楷体_GB2312"/>
          <w:b w:val="0"/>
          <w:bCs/>
          <w:i w:val="0"/>
          <w:color w:val="auto"/>
          <w:kern w:val="0"/>
          <w:sz w:val="40"/>
          <w:szCs w:val="40"/>
          <w:u w:val="none"/>
          <w:lang w:val="en-US" w:eastAsia="zh-CN" w:bidi="ar"/>
        </w:rPr>
        <w:t>（第二批共25项）</w:t>
      </w:r>
    </w:p>
    <w:tbl>
      <w:tblPr>
        <w:tblStyle w:val="2"/>
        <w:tblW w:w="1405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980"/>
        <w:gridCol w:w="1540"/>
        <w:gridCol w:w="1700"/>
        <w:gridCol w:w="5861"/>
        <w:gridCol w:w="2743"/>
        <w:gridCol w:w="12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6" w:hRule="atLeast"/>
          <w:tblHeader/>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序号</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条线</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事项编码</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事项名称</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黑体" w:eastAsia="黑体" w:cs="黑体"/>
                <w:b w:val="0"/>
                <w:bCs/>
                <w:i w:val="0"/>
                <w:color w:val="auto"/>
                <w:sz w:val="16"/>
                <w:szCs w:val="16"/>
                <w:u w:val="none"/>
              </w:rPr>
            </w:pPr>
            <w:r>
              <w:rPr>
                <w:rFonts w:hint="eastAsia" w:ascii="黑体" w:hAnsi="黑体" w:eastAsia="黑体" w:cs="黑体"/>
                <w:b w:val="0"/>
                <w:bCs/>
                <w:i w:val="0"/>
                <w:color w:val="auto"/>
                <w:kern w:val="0"/>
                <w:sz w:val="24"/>
                <w:szCs w:val="24"/>
                <w:u w:val="none"/>
                <w:lang w:val="en-US" w:eastAsia="zh-CN" w:bidi="ar"/>
              </w:rPr>
              <w:t>是否在省乡镇（街道）综合行政执法事项指导目录</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黑体" w:hAnsi="黑体" w:eastAsia="黑体" w:cs="黑体"/>
                <w:b w:val="0"/>
                <w:bCs/>
                <w:i w:val="0"/>
                <w:color w:val="auto"/>
                <w:sz w:val="24"/>
                <w:szCs w:val="24"/>
                <w:u w:val="none"/>
              </w:rPr>
            </w:pPr>
            <w:r>
              <w:rPr>
                <w:rFonts w:hint="eastAsia" w:ascii="黑体" w:hAnsi="黑体" w:eastAsia="黑体" w:cs="黑体"/>
                <w:b w:val="0"/>
                <w:bCs/>
                <w:i w:val="0"/>
                <w:color w:val="auto"/>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5" w:hRule="atLeast"/>
          <w:jc w:val="center"/>
        </w:trPr>
        <w:tc>
          <w:tcPr>
            <w:tcW w:w="14053" w:type="dxa"/>
            <w:gridSpan w:val="6"/>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一、区住建局（共12项）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330217832000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对租赁当事人出租属违法建筑， 不符合安全、防灾等工程建设强制性标准，违反规定改变房屋使用性质，法律、法规规定禁止出租的其他情形的商品房屋的行政处罚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330217834000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对房屋租赁当事人未在规定期限内办理房屋租赁登记备案手续，变更、延续或者注销手续的行政处罚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330217455000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对申请家庭以不正当手段取得廉租住房保障的行政处罚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330217457000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对承租家庭违反规定拒不退房的行政处罚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330217458003</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对公租房所有权人或运营单位违规改变保障性住房性质、用途的行政处罚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330217459000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对申请家庭隐瞒或弄虚作假申请公租房的行政处罚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330217460000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对申请家庭以欺骗等不正当手段登记为轮候对象或承租公租房的行政处罚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330217461001</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对承租人转借、转租或者擅自调换所承租公租房行为的行政处罚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9</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330217461002</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对承租人改变所承租公租房用途的行政处罚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10</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330217461003</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对承租人破坏或者擅自装修所承租公租房且拒不恢复原状行为的行政处罚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11</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330217461004</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对承租人在公租房内从事违法活动行为的行政处罚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12</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建设</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330217461005</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对承租人无正当理由连续6 个月以上闲置公租房行为的行政处罚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4053" w:type="dxa"/>
            <w:gridSpan w:val="6"/>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二、区文广旅体局（共3项）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文化旅游</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330222009000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对互联网上网服务营业场所经营单位接纳未成年人进入营业场所等行为的行政处罚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文化旅游</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330222042000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对娱乐场所未按《娱乐场所管理条例》规定悬挂警示标志、未成年人禁入或者限入标志的行政处罚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81"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文化旅游</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330222048000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对娱乐场所未在显著位置悬挂娱乐经营许可证、未成年人禁入或者限入标志， 标志未注明“12318”文化市场举报电话的行政处罚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4053" w:type="dxa"/>
            <w:gridSpan w:val="6"/>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三、区应急管理局（共1项）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39"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应急管理</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330225002036</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对其他一般工贸企业未按规定落实安全管理协议或者未对承包单位、承租单位的安全生产统一协调、管理的行政处罚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4053" w:type="dxa"/>
            <w:gridSpan w:val="6"/>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b/>
                <w:i w:val="0"/>
                <w:color w:val="auto"/>
                <w:sz w:val="24"/>
                <w:szCs w:val="24"/>
                <w:u w:val="none"/>
              </w:rPr>
            </w:pPr>
            <w:r>
              <w:rPr>
                <w:rFonts w:hint="eastAsia" w:ascii="仿宋_GB2312" w:hAnsi="仿宋_GB2312" w:eastAsia="仿宋_GB2312" w:cs="仿宋_GB2312"/>
                <w:b/>
                <w:i w:val="0"/>
                <w:color w:val="auto"/>
                <w:kern w:val="0"/>
                <w:sz w:val="24"/>
                <w:szCs w:val="24"/>
                <w:u w:val="none"/>
                <w:lang w:val="en-US" w:eastAsia="zh-CN" w:bidi="ar"/>
              </w:rPr>
              <w:t>四、区农业农村局（共1项）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01"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农业农村</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330220048000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对农村村民未经批准或者采取欺骗手段骗取批准，非法占用土地建住宅的行政处罚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22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1"/>
                <w:szCs w:val="21"/>
                <w:u w:val="none"/>
                <w:lang w:val="en-US" w:eastAsia="zh-CN" w:bidi="ar"/>
              </w:rPr>
              <w:t>《温州市人民政府办公室关于进一步加强农村村民住宅建设管理的指导意见》（温政办〔2022〕18 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1" w:hRule="atLeast"/>
          <w:jc w:val="center"/>
        </w:trPr>
        <w:tc>
          <w:tcPr>
            <w:tcW w:w="14053" w:type="dxa"/>
            <w:gridSpan w:val="6"/>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b/>
                <w:i w:val="0"/>
                <w:color w:val="000000"/>
                <w:sz w:val="24"/>
                <w:szCs w:val="24"/>
                <w:u w:val="none"/>
              </w:rPr>
            </w:pPr>
            <w:r>
              <w:rPr>
                <w:rFonts w:hint="eastAsia" w:ascii="仿宋_GB2312" w:hAnsi="仿宋_GB2312" w:eastAsia="仿宋_GB2312" w:cs="仿宋_GB2312"/>
                <w:b/>
                <w:i w:val="0"/>
                <w:color w:val="000000"/>
                <w:kern w:val="0"/>
                <w:sz w:val="24"/>
                <w:szCs w:val="24"/>
                <w:u w:val="none"/>
                <w:lang w:val="en-US" w:eastAsia="zh-CN" w:bidi="ar"/>
              </w:rPr>
              <w:t>五、区人力资源和社会保障局（共8项）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66"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1</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人力社保</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330214003000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对企业未按时足额支付工资或者克扣工资的行政处罚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2</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人力社保</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330214007000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对用人单位违法使用童工的行政处罚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2"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人力社保</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330214028000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对伪造、变造、隐匿、销毁工资支付记录的行政处罚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4"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4</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人力社保</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330214044000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对娱乐场所招用未成年人的行政处罚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8"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5</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人力社保</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330214049000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对职业中介机构向劳动者收取押金的行政处罚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96"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6</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人力社保</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330214076000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对用人单位逾期不将童工送交监护人的行政处罚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7</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人力社保</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330214080000</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对劳动者依法解除或者终止劳动合同，用人单位扣押劳动者档案的行政处罚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60" w:hRule="atLeast"/>
          <w:jc w:val="center"/>
        </w:trPr>
        <w:tc>
          <w:tcPr>
            <w:tcW w:w="98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8</w:t>
            </w:r>
          </w:p>
        </w:tc>
        <w:tc>
          <w:tcPr>
            <w:tcW w:w="154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人力社保</w:t>
            </w:r>
          </w:p>
        </w:tc>
        <w:tc>
          <w:tcPr>
            <w:tcW w:w="1700"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330214083009</w:t>
            </w:r>
          </w:p>
        </w:tc>
        <w:tc>
          <w:tcPr>
            <w:tcW w:w="5861"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left"/>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对建设单位未按约定及时足额向农民工工资专用账户拨付工程款中的人工费用的行政处罚</w:t>
            </w:r>
          </w:p>
        </w:tc>
        <w:tc>
          <w:tcPr>
            <w:tcW w:w="2743"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是</w:t>
            </w:r>
          </w:p>
        </w:tc>
        <w:tc>
          <w:tcPr>
            <w:tcW w:w="1229" w:type="dxa"/>
            <w:tcBorders>
              <w:top w:val="single" w:color="auto" w:sz="4" w:space="0"/>
              <w:left w:val="single" w:color="auto" w:sz="4" w:space="0"/>
              <w:bottom w:val="single" w:color="auto" w:sz="4" w:space="0"/>
              <w:right w:val="single" w:color="auto" w:sz="4" w:space="0"/>
            </w:tcBorders>
            <w:noWrap w:val="0"/>
            <w:tcMar>
              <w:top w:w="12" w:type="dxa"/>
              <w:left w:w="12" w:type="dxa"/>
              <w:right w:w="12" w:type="dxa"/>
            </w:tcMar>
            <w:vAlign w:val="center"/>
          </w:tcPr>
          <w:p>
            <w:pPr>
              <w:keepNext w:val="0"/>
              <w:keepLines w:val="0"/>
              <w:widowControl/>
              <w:suppressLineNumbers w:val="0"/>
              <w:spacing w:line="300" w:lineRule="exact"/>
              <w:jc w:val="center"/>
              <w:textAlignment w:val="center"/>
              <w:rPr>
                <w:rFonts w:hint="eastAsia" w:ascii="仿宋_GB2312" w:hAnsi="仿宋_GB2312" w:eastAsia="仿宋_GB2312" w:cs="仿宋_GB2312"/>
                <w:i w:val="0"/>
                <w:color w:val="auto"/>
                <w:sz w:val="24"/>
                <w:szCs w:val="24"/>
                <w:u w:val="none"/>
              </w:rPr>
            </w:pPr>
            <w:r>
              <w:rPr>
                <w:rFonts w:hint="eastAsia" w:ascii="仿宋_GB2312" w:hAnsi="仿宋_GB2312" w:eastAsia="仿宋_GB2312" w:cs="仿宋_GB2312"/>
                <w:i w:val="0"/>
                <w:color w:val="auto"/>
                <w:kern w:val="0"/>
                <w:sz w:val="24"/>
                <w:szCs w:val="24"/>
                <w:u w:val="none"/>
                <w:lang w:val="en-US" w:eastAsia="zh-CN" w:bidi="ar"/>
              </w:rPr>
              <w:t>　</w:t>
            </w:r>
          </w:p>
        </w:tc>
      </w:tr>
    </w:tbl>
    <w:p>
      <w:pPr>
        <w:spacing w:line="20" w:lineRule="exact"/>
        <w:rPr>
          <w:rFonts w:hint="eastAsia"/>
        </w:rPr>
      </w:pPr>
    </w:p>
    <w:p/>
    <w:sectPr>
      <w:pgSz w:w="16838" w:h="11905" w:orient="landscape"/>
      <w:pgMar w:top="1644" w:right="1587" w:bottom="1417" w:left="1587" w:header="851" w:footer="1417" w:gutter="0"/>
      <w:cols w:space="720" w:num="1"/>
      <w:docGrid w:type="lines" w:linePitch="58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ZhNzcyYThkN2EwMTNkOGZkNjY3MzY2MGFmODQwODgifQ=="/>
  </w:docVars>
  <w:rsids>
    <w:rsidRoot w:val="68BA734A"/>
    <w:rsid w:val="0098672C"/>
    <w:rsid w:val="011F2279"/>
    <w:rsid w:val="012924DE"/>
    <w:rsid w:val="017F428D"/>
    <w:rsid w:val="01B06BEC"/>
    <w:rsid w:val="01C61FCA"/>
    <w:rsid w:val="021D7A16"/>
    <w:rsid w:val="0226097D"/>
    <w:rsid w:val="024168DD"/>
    <w:rsid w:val="02DE056D"/>
    <w:rsid w:val="03535D54"/>
    <w:rsid w:val="03BC2F9C"/>
    <w:rsid w:val="03C300DC"/>
    <w:rsid w:val="03D21A5D"/>
    <w:rsid w:val="03F202F3"/>
    <w:rsid w:val="04183431"/>
    <w:rsid w:val="04286386"/>
    <w:rsid w:val="043B1C84"/>
    <w:rsid w:val="044915ED"/>
    <w:rsid w:val="04961786"/>
    <w:rsid w:val="04CC4D1A"/>
    <w:rsid w:val="05AA5440"/>
    <w:rsid w:val="05BD0772"/>
    <w:rsid w:val="05D35B13"/>
    <w:rsid w:val="05DC40B7"/>
    <w:rsid w:val="062C0000"/>
    <w:rsid w:val="0690680B"/>
    <w:rsid w:val="069B0131"/>
    <w:rsid w:val="06FA66A3"/>
    <w:rsid w:val="06FB7EC9"/>
    <w:rsid w:val="07020833"/>
    <w:rsid w:val="07541B63"/>
    <w:rsid w:val="078137FC"/>
    <w:rsid w:val="078C1F13"/>
    <w:rsid w:val="07B35E58"/>
    <w:rsid w:val="07E47A17"/>
    <w:rsid w:val="07EB382B"/>
    <w:rsid w:val="07FD205B"/>
    <w:rsid w:val="08020E16"/>
    <w:rsid w:val="08720429"/>
    <w:rsid w:val="08D44E2F"/>
    <w:rsid w:val="091776A0"/>
    <w:rsid w:val="09551654"/>
    <w:rsid w:val="09603058"/>
    <w:rsid w:val="099A6D12"/>
    <w:rsid w:val="09B075FD"/>
    <w:rsid w:val="09CB67FF"/>
    <w:rsid w:val="0A5D7E01"/>
    <w:rsid w:val="0AA41A1F"/>
    <w:rsid w:val="0AAE5216"/>
    <w:rsid w:val="0ADE7EB0"/>
    <w:rsid w:val="0AEE71EF"/>
    <w:rsid w:val="0B112742"/>
    <w:rsid w:val="0B5873F2"/>
    <w:rsid w:val="0B5D198D"/>
    <w:rsid w:val="0B8E3AA5"/>
    <w:rsid w:val="0BA22B3F"/>
    <w:rsid w:val="0BB96BC5"/>
    <w:rsid w:val="0C4C18DC"/>
    <w:rsid w:val="0C8C6FCB"/>
    <w:rsid w:val="0C8E52DE"/>
    <w:rsid w:val="0CB55DF5"/>
    <w:rsid w:val="0CDB30D5"/>
    <w:rsid w:val="0D0647F8"/>
    <w:rsid w:val="0D8B0253"/>
    <w:rsid w:val="0DD764FB"/>
    <w:rsid w:val="0DFD18B7"/>
    <w:rsid w:val="0E3046FD"/>
    <w:rsid w:val="0E3D58C0"/>
    <w:rsid w:val="0E6A60F8"/>
    <w:rsid w:val="0E735565"/>
    <w:rsid w:val="0E93640E"/>
    <w:rsid w:val="0E983A10"/>
    <w:rsid w:val="0EDA508D"/>
    <w:rsid w:val="0F027C81"/>
    <w:rsid w:val="0F6E0B91"/>
    <w:rsid w:val="0FD7642C"/>
    <w:rsid w:val="0FF55654"/>
    <w:rsid w:val="10CF07B0"/>
    <w:rsid w:val="10E925F6"/>
    <w:rsid w:val="110617B9"/>
    <w:rsid w:val="112C08E0"/>
    <w:rsid w:val="1142303E"/>
    <w:rsid w:val="11536195"/>
    <w:rsid w:val="1181237A"/>
    <w:rsid w:val="11A905BA"/>
    <w:rsid w:val="11A971BE"/>
    <w:rsid w:val="11B4188A"/>
    <w:rsid w:val="11E10165"/>
    <w:rsid w:val="12163621"/>
    <w:rsid w:val="122C3E23"/>
    <w:rsid w:val="12603780"/>
    <w:rsid w:val="12723FD4"/>
    <w:rsid w:val="1285502F"/>
    <w:rsid w:val="128F38AF"/>
    <w:rsid w:val="12F47E82"/>
    <w:rsid w:val="132429B7"/>
    <w:rsid w:val="13607EC7"/>
    <w:rsid w:val="142D235F"/>
    <w:rsid w:val="143C7961"/>
    <w:rsid w:val="14A04BC1"/>
    <w:rsid w:val="14AF027A"/>
    <w:rsid w:val="14B13748"/>
    <w:rsid w:val="15335670"/>
    <w:rsid w:val="158765D0"/>
    <w:rsid w:val="15A32B1E"/>
    <w:rsid w:val="15D97871"/>
    <w:rsid w:val="15DF5D70"/>
    <w:rsid w:val="15E734FB"/>
    <w:rsid w:val="1608552F"/>
    <w:rsid w:val="1630158A"/>
    <w:rsid w:val="16942491"/>
    <w:rsid w:val="16A67EB4"/>
    <w:rsid w:val="16AB7465"/>
    <w:rsid w:val="17272F51"/>
    <w:rsid w:val="174C53D2"/>
    <w:rsid w:val="175C7434"/>
    <w:rsid w:val="17A60A57"/>
    <w:rsid w:val="185F0CBF"/>
    <w:rsid w:val="188F0791"/>
    <w:rsid w:val="188F0DCD"/>
    <w:rsid w:val="18A14FA2"/>
    <w:rsid w:val="18A8695D"/>
    <w:rsid w:val="18AC3DCF"/>
    <w:rsid w:val="18BA20D1"/>
    <w:rsid w:val="18FA777E"/>
    <w:rsid w:val="192755E6"/>
    <w:rsid w:val="19783B04"/>
    <w:rsid w:val="19B0653B"/>
    <w:rsid w:val="19DE2CA4"/>
    <w:rsid w:val="1A1730C9"/>
    <w:rsid w:val="1A1A54FD"/>
    <w:rsid w:val="1A5273B8"/>
    <w:rsid w:val="1AA10FA1"/>
    <w:rsid w:val="1AC76AE0"/>
    <w:rsid w:val="1AD670CF"/>
    <w:rsid w:val="1AF74D15"/>
    <w:rsid w:val="1B085AF6"/>
    <w:rsid w:val="1BD07294"/>
    <w:rsid w:val="1BFD48DD"/>
    <w:rsid w:val="1C1B2385"/>
    <w:rsid w:val="1C2E5CC0"/>
    <w:rsid w:val="1C507199"/>
    <w:rsid w:val="1C9308B1"/>
    <w:rsid w:val="1C9A352F"/>
    <w:rsid w:val="1CBE7FC5"/>
    <w:rsid w:val="1D23316D"/>
    <w:rsid w:val="1DA14D44"/>
    <w:rsid w:val="1E4F5268"/>
    <w:rsid w:val="1E6178EA"/>
    <w:rsid w:val="1E7364DD"/>
    <w:rsid w:val="1F226B67"/>
    <w:rsid w:val="1FCC4BB3"/>
    <w:rsid w:val="20085657"/>
    <w:rsid w:val="20284890"/>
    <w:rsid w:val="202F751D"/>
    <w:rsid w:val="20841E3B"/>
    <w:rsid w:val="20B533AC"/>
    <w:rsid w:val="20C75447"/>
    <w:rsid w:val="20D765D2"/>
    <w:rsid w:val="21643F73"/>
    <w:rsid w:val="217E5E03"/>
    <w:rsid w:val="21A910FA"/>
    <w:rsid w:val="21F5072C"/>
    <w:rsid w:val="220511A3"/>
    <w:rsid w:val="22153E0E"/>
    <w:rsid w:val="22293060"/>
    <w:rsid w:val="226E76F8"/>
    <w:rsid w:val="229F4254"/>
    <w:rsid w:val="2305365A"/>
    <w:rsid w:val="234D22AF"/>
    <w:rsid w:val="23901FD2"/>
    <w:rsid w:val="23B03902"/>
    <w:rsid w:val="241C45C1"/>
    <w:rsid w:val="243813BB"/>
    <w:rsid w:val="25162129"/>
    <w:rsid w:val="256525EE"/>
    <w:rsid w:val="25D931DC"/>
    <w:rsid w:val="25FC6C49"/>
    <w:rsid w:val="26135C80"/>
    <w:rsid w:val="26340484"/>
    <w:rsid w:val="269F2C99"/>
    <w:rsid w:val="26A932A9"/>
    <w:rsid w:val="26B93610"/>
    <w:rsid w:val="26CA53AB"/>
    <w:rsid w:val="26FB59FD"/>
    <w:rsid w:val="280C57E6"/>
    <w:rsid w:val="28140212"/>
    <w:rsid w:val="286907D0"/>
    <w:rsid w:val="28A23000"/>
    <w:rsid w:val="28ED6444"/>
    <w:rsid w:val="28F765D1"/>
    <w:rsid w:val="295801DC"/>
    <w:rsid w:val="29E97EB0"/>
    <w:rsid w:val="2A20594D"/>
    <w:rsid w:val="2A5C0F67"/>
    <w:rsid w:val="2A7254A4"/>
    <w:rsid w:val="2B27161B"/>
    <w:rsid w:val="2B2F1E03"/>
    <w:rsid w:val="2B400A26"/>
    <w:rsid w:val="2B606241"/>
    <w:rsid w:val="2B825170"/>
    <w:rsid w:val="2BA205C0"/>
    <w:rsid w:val="2BB61DE6"/>
    <w:rsid w:val="2BFB63B8"/>
    <w:rsid w:val="2C02261D"/>
    <w:rsid w:val="2C441A0C"/>
    <w:rsid w:val="2C5E4385"/>
    <w:rsid w:val="2CBD1245"/>
    <w:rsid w:val="2CD627F6"/>
    <w:rsid w:val="2DAD1689"/>
    <w:rsid w:val="2DBB052C"/>
    <w:rsid w:val="2DF76A58"/>
    <w:rsid w:val="2E2424DF"/>
    <w:rsid w:val="2E3238EA"/>
    <w:rsid w:val="2E3D1D7E"/>
    <w:rsid w:val="2ED856C7"/>
    <w:rsid w:val="2F137F9C"/>
    <w:rsid w:val="2F3A3501"/>
    <w:rsid w:val="2F486D92"/>
    <w:rsid w:val="2F6A18FF"/>
    <w:rsid w:val="301C62FD"/>
    <w:rsid w:val="301E08F5"/>
    <w:rsid w:val="3026203D"/>
    <w:rsid w:val="307A5CDB"/>
    <w:rsid w:val="309D794C"/>
    <w:rsid w:val="30C114CD"/>
    <w:rsid w:val="30F55BC8"/>
    <w:rsid w:val="311659E8"/>
    <w:rsid w:val="31264CEC"/>
    <w:rsid w:val="3151775C"/>
    <w:rsid w:val="31CA0809"/>
    <w:rsid w:val="321F456D"/>
    <w:rsid w:val="32340DE3"/>
    <w:rsid w:val="32413446"/>
    <w:rsid w:val="324F0681"/>
    <w:rsid w:val="33E0499D"/>
    <w:rsid w:val="34110893"/>
    <w:rsid w:val="343D1AD8"/>
    <w:rsid w:val="34494CD8"/>
    <w:rsid w:val="346200A0"/>
    <w:rsid w:val="347060CB"/>
    <w:rsid w:val="34E141D7"/>
    <w:rsid w:val="35A07192"/>
    <w:rsid w:val="365B269D"/>
    <w:rsid w:val="366432D3"/>
    <w:rsid w:val="369A7899"/>
    <w:rsid w:val="36D46E14"/>
    <w:rsid w:val="37406E13"/>
    <w:rsid w:val="376526FA"/>
    <w:rsid w:val="37A33321"/>
    <w:rsid w:val="383E5178"/>
    <w:rsid w:val="38596501"/>
    <w:rsid w:val="391408C1"/>
    <w:rsid w:val="39314D78"/>
    <w:rsid w:val="39413FB8"/>
    <w:rsid w:val="39433FE3"/>
    <w:rsid w:val="398D69ED"/>
    <w:rsid w:val="39A6518A"/>
    <w:rsid w:val="39FE5A8F"/>
    <w:rsid w:val="3A47691E"/>
    <w:rsid w:val="3A7E26B3"/>
    <w:rsid w:val="3AA72478"/>
    <w:rsid w:val="3AE67217"/>
    <w:rsid w:val="3B1932F0"/>
    <w:rsid w:val="3B7527E6"/>
    <w:rsid w:val="3B81536A"/>
    <w:rsid w:val="3B856373"/>
    <w:rsid w:val="3B880E9B"/>
    <w:rsid w:val="3C49093A"/>
    <w:rsid w:val="3C4A6676"/>
    <w:rsid w:val="3C6020F8"/>
    <w:rsid w:val="3CA4690B"/>
    <w:rsid w:val="3CDC753B"/>
    <w:rsid w:val="3D1E705E"/>
    <w:rsid w:val="3D41407B"/>
    <w:rsid w:val="3DD406BF"/>
    <w:rsid w:val="3E286D84"/>
    <w:rsid w:val="3E62124A"/>
    <w:rsid w:val="3E65597A"/>
    <w:rsid w:val="3E8A0DF5"/>
    <w:rsid w:val="3E8C0F10"/>
    <w:rsid w:val="3E8C5CEB"/>
    <w:rsid w:val="3E962C9D"/>
    <w:rsid w:val="3ED17314"/>
    <w:rsid w:val="3ED262DC"/>
    <w:rsid w:val="3EE44619"/>
    <w:rsid w:val="3F175905"/>
    <w:rsid w:val="3F747318"/>
    <w:rsid w:val="3FA16C23"/>
    <w:rsid w:val="3FB32619"/>
    <w:rsid w:val="3FD35A48"/>
    <w:rsid w:val="40071410"/>
    <w:rsid w:val="400D40B8"/>
    <w:rsid w:val="40295B0C"/>
    <w:rsid w:val="40610F4B"/>
    <w:rsid w:val="407C7B43"/>
    <w:rsid w:val="408C7370"/>
    <w:rsid w:val="409F5CD6"/>
    <w:rsid w:val="41144896"/>
    <w:rsid w:val="41254114"/>
    <w:rsid w:val="41286228"/>
    <w:rsid w:val="416800C9"/>
    <w:rsid w:val="418762AC"/>
    <w:rsid w:val="4192069B"/>
    <w:rsid w:val="41DE6041"/>
    <w:rsid w:val="42B0354E"/>
    <w:rsid w:val="42CC2453"/>
    <w:rsid w:val="42D40F98"/>
    <w:rsid w:val="42FC0C50"/>
    <w:rsid w:val="433669F0"/>
    <w:rsid w:val="43B30250"/>
    <w:rsid w:val="43D332DA"/>
    <w:rsid w:val="43DF0A5F"/>
    <w:rsid w:val="43E754A1"/>
    <w:rsid w:val="43F47AC1"/>
    <w:rsid w:val="44024131"/>
    <w:rsid w:val="44697B0F"/>
    <w:rsid w:val="44A45F8A"/>
    <w:rsid w:val="456A1A0D"/>
    <w:rsid w:val="45A21E03"/>
    <w:rsid w:val="45CE71CD"/>
    <w:rsid w:val="45F47BD7"/>
    <w:rsid w:val="460B2C7B"/>
    <w:rsid w:val="46187E6C"/>
    <w:rsid w:val="469A6336"/>
    <w:rsid w:val="470D04AE"/>
    <w:rsid w:val="471D7A57"/>
    <w:rsid w:val="472929B9"/>
    <w:rsid w:val="47AD0737"/>
    <w:rsid w:val="47D4015D"/>
    <w:rsid w:val="47F17BD5"/>
    <w:rsid w:val="48182E55"/>
    <w:rsid w:val="48906D07"/>
    <w:rsid w:val="48CE7478"/>
    <w:rsid w:val="48D5775D"/>
    <w:rsid w:val="49164DE2"/>
    <w:rsid w:val="494369A5"/>
    <w:rsid w:val="49990FF6"/>
    <w:rsid w:val="49FB11EF"/>
    <w:rsid w:val="49FB43EB"/>
    <w:rsid w:val="4A047146"/>
    <w:rsid w:val="4A0A2586"/>
    <w:rsid w:val="4A7C0EA4"/>
    <w:rsid w:val="4A824203"/>
    <w:rsid w:val="4AA77A2C"/>
    <w:rsid w:val="4B8F6BED"/>
    <w:rsid w:val="4BB8626B"/>
    <w:rsid w:val="4BCD6713"/>
    <w:rsid w:val="4BFB792D"/>
    <w:rsid w:val="4CF2549E"/>
    <w:rsid w:val="4D065E8D"/>
    <w:rsid w:val="4D1C5F9F"/>
    <w:rsid w:val="4D3E2E0D"/>
    <w:rsid w:val="4D4608A0"/>
    <w:rsid w:val="4D562C9D"/>
    <w:rsid w:val="4D6A0DD6"/>
    <w:rsid w:val="4D7C1D8D"/>
    <w:rsid w:val="4D881DB3"/>
    <w:rsid w:val="4D9F2527"/>
    <w:rsid w:val="4E436FFB"/>
    <w:rsid w:val="4E4A3BD5"/>
    <w:rsid w:val="4EAB09E7"/>
    <w:rsid w:val="4EAE53DC"/>
    <w:rsid w:val="4F54741C"/>
    <w:rsid w:val="4F737AD1"/>
    <w:rsid w:val="4FBE77EE"/>
    <w:rsid w:val="4FD14CEF"/>
    <w:rsid w:val="4FE14895"/>
    <w:rsid w:val="5064138A"/>
    <w:rsid w:val="50966268"/>
    <w:rsid w:val="50CD0239"/>
    <w:rsid w:val="50E05CA6"/>
    <w:rsid w:val="511C562B"/>
    <w:rsid w:val="517D3B9A"/>
    <w:rsid w:val="51853161"/>
    <w:rsid w:val="519D0B01"/>
    <w:rsid w:val="51B261DE"/>
    <w:rsid w:val="52374667"/>
    <w:rsid w:val="52916A94"/>
    <w:rsid w:val="529F7EC8"/>
    <w:rsid w:val="52AA3B5F"/>
    <w:rsid w:val="52C42950"/>
    <w:rsid w:val="53355503"/>
    <w:rsid w:val="53710969"/>
    <w:rsid w:val="537C46AF"/>
    <w:rsid w:val="537E6F73"/>
    <w:rsid w:val="541546DB"/>
    <w:rsid w:val="544A26FB"/>
    <w:rsid w:val="544D0AA1"/>
    <w:rsid w:val="54BA556F"/>
    <w:rsid w:val="55802376"/>
    <w:rsid w:val="55BB176D"/>
    <w:rsid w:val="567A5DDF"/>
    <w:rsid w:val="56A8254C"/>
    <w:rsid w:val="56D85232"/>
    <w:rsid w:val="574C4F6A"/>
    <w:rsid w:val="57624968"/>
    <w:rsid w:val="57900E8E"/>
    <w:rsid w:val="57946755"/>
    <w:rsid w:val="57EF1D9E"/>
    <w:rsid w:val="583A281B"/>
    <w:rsid w:val="58754346"/>
    <w:rsid w:val="58BF31BA"/>
    <w:rsid w:val="58D744D9"/>
    <w:rsid w:val="594F3630"/>
    <w:rsid w:val="596E108D"/>
    <w:rsid w:val="597954A6"/>
    <w:rsid w:val="59AC2FF7"/>
    <w:rsid w:val="59B86B0B"/>
    <w:rsid w:val="59C27544"/>
    <w:rsid w:val="5A142E5D"/>
    <w:rsid w:val="5A50437C"/>
    <w:rsid w:val="5A86081C"/>
    <w:rsid w:val="5A9E07D7"/>
    <w:rsid w:val="5AB52D9C"/>
    <w:rsid w:val="5B4D02EA"/>
    <w:rsid w:val="5B873CF6"/>
    <w:rsid w:val="5BE17299"/>
    <w:rsid w:val="5C6A734F"/>
    <w:rsid w:val="5CBF1EF9"/>
    <w:rsid w:val="5CBF731E"/>
    <w:rsid w:val="5CEC31FD"/>
    <w:rsid w:val="5E20089E"/>
    <w:rsid w:val="5E2D7049"/>
    <w:rsid w:val="5E581E41"/>
    <w:rsid w:val="5E707017"/>
    <w:rsid w:val="5EB64639"/>
    <w:rsid w:val="5EDC4775"/>
    <w:rsid w:val="5EF05018"/>
    <w:rsid w:val="5F50421B"/>
    <w:rsid w:val="5F5C3431"/>
    <w:rsid w:val="5F92682A"/>
    <w:rsid w:val="5FA50749"/>
    <w:rsid w:val="5FAF2716"/>
    <w:rsid w:val="5FE25375"/>
    <w:rsid w:val="600D5B15"/>
    <w:rsid w:val="608B39C9"/>
    <w:rsid w:val="60902C1A"/>
    <w:rsid w:val="60A0161C"/>
    <w:rsid w:val="60A7399B"/>
    <w:rsid w:val="60E808A2"/>
    <w:rsid w:val="61471A84"/>
    <w:rsid w:val="614D7C7A"/>
    <w:rsid w:val="617D48F4"/>
    <w:rsid w:val="61834C68"/>
    <w:rsid w:val="61DE0FC0"/>
    <w:rsid w:val="6275416C"/>
    <w:rsid w:val="62C1787B"/>
    <w:rsid w:val="62D44198"/>
    <w:rsid w:val="62EF3427"/>
    <w:rsid w:val="62F545DE"/>
    <w:rsid w:val="631C43AD"/>
    <w:rsid w:val="633B104D"/>
    <w:rsid w:val="63635DB4"/>
    <w:rsid w:val="642F5779"/>
    <w:rsid w:val="646D5A4B"/>
    <w:rsid w:val="64917B48"/>
    <w:rsid w:val="64C70FC7"/>
    <w:rsid w:val="64EF3D59"/>
    <w:rsid w:val="64F15C97"/>
    <w:rsid w:val="64F573E1"/>
    <w:rsid w:val="64FF4459"/>
    <w:rsid w:val="652441C7"/>
    <w:rsid w:val="6562440F"/>
    <w:rsid w:val="65972E3D"/>
    <w:rsid w:val="659F5E9E"/>
    <w:rsid w:val="65A11F35"/>
    <w:rsid w:val="65BC6E70"/>
    <w:rsid w:val="65BF6D93"/>
    <w:rsid w:val="66387F87"/>
    <w:rsid w:val="66723E0D"/>
    <w:rsid w:val="66CD1578"/>
    <w:rsid w:val="670C75BD"/>
    <w:rsid w:val="67254D00"/>
    <w:rsid w:val="6753380F"/>
    <w:rsid w:val="67581846"/>
    <w:rsid w:val="68104224"/>
    <w:rsid w:val="6863502B"/>
    <w:rsid w:val="68AF76E2"/>
    <w:rsid w:val="68BA734A"/>
    <w:rsid w:val="68EE6368"/>
    <w:rsid w:val="692A760A"/>
    <w:rsid w:val="69591640"/>
    <w:rsid w:val="698606D1"/>
    <w:rsid w:val="698A3540"/>
    <w:rsid w:val="6A0D147D"/>
    <w:rsid w:val="6A10013B"/>
    <w:rsid w:val="6A1572AD"/>
    <w:rsid w:val="6A1F5AB6"/>
    <w:rsid w:val="6A44688F"/>
    <w:rsid w:val="6A966E4C"/>
    <w:rsid w:val="6B0F53B3"/>
    <w:rsid w:val="6B697452"/>
    <w:rsid w:val="6B9C10E1"/>
    <w:rsid w:val="6BD111EB"/>
    <w:rsid w:val="6BD3382C"/>
    <w:rsid w:val="6BEA774B"/>
    <w:rsid w:val="6C8950A2"/>
    <w:rsid w:val="6D3C121D"/>
    <w:rsid w:val="6D4A583D"/>
    <w:rsid w:val="6D6D3114"/>
    <w:rsid w:val="6E0D210E"/>
    <w:rsid w:val="6E256DBB"/>
    <w:rsid w:val="6E465A88"/>
    <w:rsid w:val="6E894676"/>
    <w:rsid w:val="6E9B6E12"/>
    <w:rsid w:val="6F1857A8"/>
    <w:rsid w:val="6F4A2640"/>
    <w:rsid w:val="6FFB1B99"/>
    <w:rsid w:val="70136A86"/>
    <w:rsid w:val="702979E7"/>
    <w:rsid w:val="70551FE7"/>
    <w:rsid w:val="7062775E"/>
    <w:rsid w:val="70F03535"/>
    <w:rsid w:val="710E0F33"/>
    <w:rsid w:val="712A6B65"/>
    <w:rsid w:val="713F15F4"/>
    <w:rsid w:val="715B188C"/>
    <w:rsid w:val="71D336B7"/>
    <w:rsid w:val="723A5E3E"/>
    <w:rsid w:val="727E3629"/>
    <w:rsid w:val="72872E02"/>
    <w:rsid w:val="72A739A8"/>
    <w:rsid w:val="72B45A42"/>
    <w:rsid w:val="72B95384"/>
    <w:rsid w:val="72F05BD5"/>
    <w:rsid w:val="72F950C8"/>
    <w:rsid w:val="73187DFE"/>
    <w:rsid w:val="7320388F"/>
    <w:rsid w:val="735D226C"/>
    <w:rsid w:val="739F5CB3"/>
    <w:rsid w:val="73B34C42"/>
    <w:rsid w:val="7434565B"/>
    <w:rsid w:val="749723B0"/>
    <w:rsid w:val="75462305"/>
    <w:rsid w:val="754827E0"/>
    <w:rsid w:val="757C3E6E"/>
    <w:rsid w:val="75B87984"/>
    <w:rsid w:val="75C457E9"/>
    <w:rsid w:val="75E0389D"/>
    <w:rsid w:val="75F70628"/>
    <w:rsid w:val="76052153"/>
    <w:rsid w:val="762939C9"/>
    <w:rsid w:val="76777B95"/>
    <w:rsid w:val="767B1291"/>
    <w:rsid w:val="76B822EB"/>
    <w:rsid w:val="76BB672C"/>
    <w:rsid w:val="76D23737"/>
    <w:rsid w:val="76D55D54"/>
    <w:rsid w:val="76F26C31"/>
    <w:rsid w:val="77571418"/>
    <w:rsid w:val="77664DCA"/>
    <w:rsid w:val="77793FD6"/>
    <w:rsid w:val="77E3264C"/>
    <w:rsid w:val="7866463B"/>
    <w:rsid w:val="789B18A3"/>
    <w:rsid w:val="78B9088A"/>
    <w:rsid w:val="78BF4F58"/>
    <w:rsid w:val="78C674D3"/>
    <w:rsid w:val="78DF418C"/>
    <w:rsid w:val="79207A77"/>
    <w:rsid w:val="7934431C"/>
    <w:rsid w:val="79824CC0"/>
    <w:rsid w:val="7A0A78B4"/>
    <w:rsid w:val="7A143AB7"/>
    <w:rsid w:val="7AF05FAE"/>
    <w:rsid w:val="7B052C7B"/>
    <w:rsid w:val="7B4A39DD"/>
    <w:rsid w:val="7BCD0A03"/>
    <w:rsid w:val="7C263AF6"/>
    <w:rsid w:val="7C3563A2"/>
    <w:rsid w:val="7C565C46"/>
    <w:rsid w:val="7C6C1310"/>
    <w:rsid w:val="7CBA290E"/>
    <w:rsid w:val="7D192963"/>
    <w:rsid w:val="7D696757"/>
    <w:rsid w:val="7D703A59"/>
    <w:rsid w:val="7D72626D"/>
    <w:rsid w:val="7D956749"/>
    <w:rsid w:val="7E0118EE"/>
    <w:rsid w:val="7E3D374B"/>
    <w:rsid w:val="7E7B2627"/>
    <w:rsid w:val="7E943213"/>
    <w:rsid w:val="7F1D718F"/>
    <w:rsid w:val="7F454955"/>
    <w:rsid w:val="7F8D5265"/>
    <w:rsid w:val="7FD42A79"/>
    <w:rsid w:val="7FD52D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2022-06-27T03:47:00Z</dcterms:created>
  <dc:creator>潘海晓</dc:creator>
  <cp:lastModifiedBy>潘海晓</cp:lastModifiedBy>
  <dcterms:modified xsi:type="dcterms:W3CDTF">2022-06-27T03:47:22Z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1049B7AB3AA24F9DBD7217459A593A0D</vt:lpwstr>
  </property>
</Properties>
</file>