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0" w:rsidRPr="00361838" w:rsidRDefault="00361838" w:rsidP="00117603">
      <w:pPr>
        <w:adjustRightInd w:val="0"/>
        <w:snapToGrid w:val="0"/>
        <w:spacing w:afterLines="50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瓯海区</w:t>
      </w:r>
      <w:r w:rsidRPr="00361838">
        <w:rPr>
          <w:rFonts w:ascii="宋体" w:hAnsi="宋体" w:cs="Arial" w:hint="eastAsia"/>
          <w:b/>
          <w:sz w:val="44"/>
          <w:szCs w:val="44"/>
        </w:rPr>
        <w:t>市场监督管理局迎接全国文明城市复评实地考察责任分工表</w:t>
      </w: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1929"/>
        <w:gridCol w:w="4928"/>
        <w:gridCol w:w="4680"/>
        <w:gridCol w:w="1552"/>
      </w:tblGrid>
      <w:tr w:rsidR="00FA1FDB" w:rsidRPr="00FA1FDB" w:rsidTr="002E2873">
        <w:trPr>
          <w:trHeight w:val="543"/>
          <w:tblHeader/>
          <w:jc w:val="center"/>
        </w:trPr>
        <w:tc>
          <w:tcPr>
            <w:tcW w:w="1258" w:type="dxa"/>
            <w:shd w:val="clear" w:color="auto" w:fill="FFFFFF"/>
            <w:vAlign w:val="center"/>
          </w:tcPr>
          <w:p w:rsidR="00FA1FDB" w:rsidRPr="00FA1FDB" w:rsidRDefault="00FA1FDB" w:rsidP="00FC43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t>指标</w:t>
            </w: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br w:type="page"/>
              <w:t>名称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FA1FDB" w:rsidRPr="00FA1FDB" w:rsidRDefault="00FA1FDB" w:rsidP="00FC43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t>测评内容</w:t>
            </w:r>
          </w:p>
        </w:tc>
        <w:tc>
          <w:tcPr>
            <w:tcW w:w="4928" w:type="dxa"/>
            <w:shd w:val="clear" w:color="auto" w:fill="FFFFFF"/>
            <w:vAlign w:val="center"/>
          </w:tcPr>
          <w:p w:rsidR="00FA1FDB" w:rsidRPr="00FA1FDB" w:rsidRDefault="00FA1FDB" w:rsidP="00FC43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t>测评标准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FA1FDB" w:rsidRPr="00FA1FDB" w:rsidRDefault="00FA1FDB" w:rsidP="00FC43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t>实地考察点位及标准</w:t>
            </w:r>
          </w:p>
        </w:tc>
        <w:tc>
          <w:tcPr>
            <w:tcW w:w="1552" w:type="dxa"/>
            <w:vAlign w:val="center"/>
          </w:tcPr>
          <w:p w:rsidR="00FA1FDB" w:rsidRPr="00FA1FDB" w:rsidRDefault="00FA1FDB" w:rsidP="00FC439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b/>
                <w:kern w:val="0"/>
                <w:szCs w:val="21"/>
              </w:rPr>
              <w:t>责任单位</w:t>
            </w:r>
          </w:p>
        </w:tc>
      </w:tr>
      <w:tr w:rsidR="00FA1FDB" w:rsidRPr="00FA1FDB" w:rsidTr="00483490">
        <w:trPr>
          <w:trHeight w:val="765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Ⅱ-6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/>
              <w:t>文化培育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Ⅲ-12培育勤劳节俭之风</w:t>
            </w:r>
          </w:p>
        </w:tc>
        <w:tc>
          <w:tcPr>
            <w:tcW w:w="4928" w:type="dxa"/>
            <w:shd w:val="clear" w:color="auto" w:fill="FFFFFF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2）</w:t>
            </w:r>
            <w:r w:rsidR="00513AC1">
              <w:rPr>
                <w:rFonts w:ascii="仿宋" w:eastAsia="仿宋" w:hAnsi="仿宋" w:cs="宋体" w:hint="eastAsia"/>
                <w:kern w:val="0"/>
                <w:szCs w:val="21"/>
              </w:rPr>
              <w:t>配合镇街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开展文明餐桌活动，宣传推广“光盘行动”等经验做法。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22C03" w:rsidRPr="001176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117603">
              <w:rPr>
                <w:rFonts w:ascii="仿宋" w:eastAsia="仿宋" w:hAnsi="仿宋" w:cs="宋体" w:hint="eastAsia"/>
                <w:kern w:val="0"/>
                <w:szCs w:val="21"/>
              </w:rPr>
              <w:t>宾馆饭店：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有“节俭养德”或“文明餐桌”或“光盘行动”的温馨提示。</w:t>
            </w:r>
          </w:p>
        </w:tc>
        <w:tc>
          <w:tcPr>
            <w:tcW w:w="1552" w:type="dxa"/>
            <w:vAlign w:val="center"/>
          </w:tcPr>
          <w:p w:rsidR="009C7FA8" w:rsidRDefault="00FA1FDB" w:rsidP="00513AC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513AC1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FA1FDB" w:rsidP="00513AC1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餐饮</w:t>
            </w:r>
            <w:r w:rsidR="00513AC1">
              <w:rPr>
                <w:rFonts w:ascii="仿宋" w:eastAsia="仿宋" w:hAnsi="仿宋" w:cs="宋体" w:hint="eastAsia"/>
                <w:kern w:val="0"/>
                <w:szCs w:val="21"/>
              </w:rPr>
              <w:t>科</w:t>
            </w:r>
          </w:p>
        </w:tc>
      </w:tr>
      <w:tr w:rsidR="00FA1FDB" w:rsidRPr="00FA1FDB" w:rsidTr="00483490">
        <w:trPr>
          <w:trHeight w:val="1550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Ⅱ-10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/>
              <w:t>“讲文明树新风”公益广告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Ⅲ-21制作刊播情况</w:t>
            </w:r>
          </w:p>
        </w:tc>
        <w:tc>
          <w:tcPr>
            <w:tcW w:w="4928" w:type="dxa"/>
            <w:shd w:val="clear" w:color="auto" w:fill="FFFFFF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2）设计制作与城市景观相融合、与城市历史文化相承接、与市民欣赏习惯相契合的公益广告，在社会公共场所、公共交通工具、建筑工地围挡等广泛刊播展示，把社会主义核心价值观和文明风尚有机融入各类生活场景。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622C03" w:rsidRDefault="00FA1FDB" w:rsidP="0011760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集贸市场、</w:t>
            </w:r>
            <w:r w:rsidRPr="00117603">
              <w:rPr>
                <w:rFonts w:ascii="仿宋" w:eastAsia="仿宋" w:hAnsi="仿宋" w:cs="宋体" w:hint="eastAsia"/>
                <w:kern w:val="0"/>
                <w:szCs w:val="21"/>
              </w:rPr>
              <w:t>宾馆饭店、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政务大厅：</w:t>
            </w:r>
          </w:p>
          <w:p w:rsidR="00FA1FDB" w:rsidRPr="00FA1FDB" w:rsidRDefault="00FA1FDB" w:rsidP="0011760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广泛刊播展示公益广告，既鼓励使用公益广告库的通稿作品，也鼓励各地自行设计创作。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17603" w:rsidRDefault="00FA1FDB" w:rsidP="00513AC1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 w:hint="eastAsia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513AC1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9C7FA8" w:rsidRDefault="00117603" w:rsidP="00513AC1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办公室、</w:t>
            </w:r>
          </w:p>
          <w:p w:rsidR="00FA1FDB" w:rsidRPr="00FA1FDB" w:rsidRDefault="00513AC1" w:rsidP="00117603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商标广告科</w:t>
            </w:r>
          </w:p>
        </w:tc>
      </w:tr>
      <w:tr w:rsidR="00FA1FDB" w:rsidRPr="00FA1FDB" w:rsidTr="002E2873">
        <w:trPr>
          <w:trHeight w:val="1035"/>
          <w:jc w:val="center"/>
        </w:trPr>
        <w:tc>
          <w:tcPr>
            <w:tcW w:w="1258" w:type="dxa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Ⅱ-15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公民权益维护</w:t>
            </w:r>
          </w:p>
        </w:tc>
        <w:tc>
          <w:tcPr>
            <w:tcW w:w="1929" w:type="dxa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Ⅲ-29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维护公民合法权益</w:t>
            </w:r>
          </w:p>
        </w:tc>
        <w:tc>
          <w:tcPr>
            <w:tcW w:w="4928" w:type="dxa"/>
            <w:shd w:val="clear" w:color="auto" w:fill="FFFFFF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3）建立健全保护消费者权益的机制，设立受理消费者投诉举报的渠道。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22C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在正常工作时间里拨打受理消费者投诉举报电话：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查验热线接通与服务情况。</w:t>
            </w:r>
          </w:p>
        </w:tc>
        <w:tc>
          <w:tcPr>
            <w:tcW w:w="1552" w:type="dxa"/>
            <w:vAlign w:val="center"/>
          </w:tcPr>
          <w:p w:rsidR="00117603" w:rsidRDefault="00855B53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 w:hint="eastAsia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各所</w:t>
            </w:r>
            <w:r w:rsidR="00FA1FDB"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消保分局</w:t>
            </w:r>
          </w:p>
        </w:tc>
      </w:tr>
      <w:tr w:rsidR="00FA1FDB" w:rsidRPr="00FA1FDB" w:rsidTr="00483490">
        <w:trPr>
          <w:trHeight w:val="1449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-17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/>
              <w:t>推进诚信建设制度化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-33社会信用体系建设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855B5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t>1）贯彻国务院《社会信用体系建设规划纲要（2014-2020年）》，推进建立覆盖全社会的征信系统，在重点领域建立起信用记录，建设信用信息互联互通、交换共享的平台；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br/>
              <w:t>2）贯彻中央文明委《关于推进诚信建设制度化的意见》，建立统分结合的工作机制。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22C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政务大厅、集贸市场：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在显著位置展示诚信主题公益广告或宣传诚信建设内容。</w:t>
            </w:r>
          </w:p>
        </w:tc>
        <w:tc>
          <w:tcPr>
            <w:tcW w:w="1552" w:type="dxa"/>
            <w:vAlign w:val="center"/>
          </w:tcPr>
          <w:p w:rsidR="00117603" w:rsidRDefault="00FA1FDB" w:rsidP="00855B53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 w:hint="eastAsia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855B53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FA1FDB" w:rsidP="00855B53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企业监管</w:t>
            </w:r>
            <w:r w:rsidR="00855B53">
              <w:rPr>
                <w:rFonts w:ascii="仿宋" w:eastAsia="仿宋" w:hAnsi="仿宋" w:cs="宋体" w:hint="eastAsia"/>
                <w:kern w:val="0"/>
                <w:szCs w:val="21"/>
              </w:rPr>
              <w:t>科</w:t>
            </w:r>
          </w:p>
        </w:tc>
      </w:tr>
      <w:tr w:rsidR="00855B53" w:rsidRPr="00FA1FDB" w:rsidTr="00483490">
        <w:trPr>
          <w:trHeight w:val="925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855B53" w:rsidRPr="00FA1FDB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-19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/>
              <w:t>文明诚信服务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855B53" w:rsidRPr="00FA1FDB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-37执法监管部门和窗口服务单位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855B53" w:rsidRPr="00855B53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t>1）从业人员文明用语，礼貌待人，规范服务；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br/>
              <w:t>3）有效整治门难进、脸难看、事难办等突出问题，无吃拿卡要、慵懒散拖现象。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55B53" w:rsidRPr="00FA1FDB" w:rsidRDefault="00855B53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t>政务大厅：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br/>
              <w:t>①办事人员文明用语，礼貌待人，规范服务；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br/>
              <w:t>②有高效的投诉处理机制；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br/>
              <w:t>③无门难进、脸难看、事难办等突出问题，无慵懒散拖现象。</w:t>
            </w:r>
          </w:p>
        </w:tc>
        <w:tc>
          <w:tcPr>
            <w:tcW w:w="1552" w:type="dxa"/>
            <w:vAlign w:val="center"/>
          </w:tcPr>
          <w:p w:rsidR="00117603" w:rsidRDefault="00855B53" w:rsidP="00855B53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 w:hint="eastAsia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855B53" w:rsidRPr="00FA1FDB" w:rsidRDefault="00855B53" w:rsidP="00855B53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行政审批科</w:t>
            </w:r>
          </w:p>
        </w:tc>
      </w:tr>
      <w:tr w:rsidR="00855B53" w:rsidRPr="00FA1FDB" w:rsidTr="00483490">
        <w:trPr>
          <w:trHeight w:val="925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855B53" w:rsidRPr="00FA1FDB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855B53" w:rsidRPr="00FA1FDB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855B53" w:rsidRPr="00FA1FDB" w:rsidRDefault="00855B53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55B53" w:rsidRDefault="00855B53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集贸市场</w:t>
            </w:r>
            <w:r w:rsidR="00186036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:rsidR="00186036" w:rsidRPr="00FA1FDB" w:rsidRDefault="00186036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从业</w:t>
            </w:r>
            <w:r w:rsidRPr="00855B53">
              <w:rPr>
                <w:rFonts w:ascii="仿宋" w:eastAsia="仿宋" w:hAnsi="仿宋" w:cs="宋体" w:hint="eastAsia"/>
                <w:kern w:val="0"/>
                <w:szCs w:val="21"/>
              </w:rPr>
              <w:t>人员文明用语，礼貌待人，规范服务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1552" w:type="dxa"/>
            <w:vAlign w:val="center"/>
          </w:tcPr>
          <w:p w:rsidR="00117603" w:rsidRDefault="00186036" w:rsidP="00483490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 w:hint="eastAsia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各所、</w:t>
            </w:r>
          </w:p>
          <w:p w:rsidR="00855B53" w:rsidRPr="00186036" w:rsidRDefault="00186036" w:rsidP="00483490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市场合同科</w:t>
            </w:r>
          </w:p>
        </w:tc>
      </w:tr>
      <w:tr w:rsidR="00FA1FDB" w:rsidRPr="00FA1FDB" w:rsidTr="002E2873">
        <w:trPr>
          <w:trHeight w:val="1151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-24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市民文明素质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-47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文明行为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2）城市无烟草广告，室内公共场所和工作场所有明显禁烟标识，无烟区没有吸烟现象；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政务大厅、宾馆饭店：</w:t>
            </w:r>
          </w:p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①有明显禁烟标识；</w:t>
            </w:r>
          </w:p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②无烟区没有吸烟现象。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622C03" w:rsidRDefault="00FA1FDB" w:rsidP="002E2873">
            <w:pPr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622C03" w:rsidRDefault="00FA1FDB" w:rsidP="002E2873">
            <w:pPr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办公室、</w:t>
            </w:r>
            <w:r w:rsidRPr="00FA1FDB">
              <w:rPr>
                <w:rFonts w:ascii="仿宋" w:eastAsia="仿宋" w:hAnsi="仿宋" w:cs="Arial"/>
                <w:szCs w:val="21"/>
              </w:rPr>
              <w:t xml:space="preserve"> </w:t>
            </w:r>
          </w:p>
          <w:p w:rsidR="00622C03" w:rsidRDefault="00186036" w:rsidP="002E2873">
            <w:pPr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商标广告科</w:t>
            </w:r>
            <w:r w:rsidR="00FA1FDB" w:rsidRPr="00FA1FDB">
              <w:rPr>
                <w:rFonts w:ascii="仿宋" w:eastAsia="仿宋" w:hAnsi="仿宋" w:cs="Arial" w:hint="eastAsia"/>
                <w:szCs w:val="21"/>
              </w:rPr>
              <w:t>、</w:t>
            </w:r>
            <w:r w:rsidR="00FA1FDB" w:rsidRPr="00FA1FDB">
              <w:rPr>
                <w:rFonts w:ascii="仿宋" w:eastAsia="仿宋" w:hAnsi="仿宋" w:cs="Arial"/>
                <w:szCs w:val="21"/>
              </w:rPr>
              <w:t xml:space="preserve"> </w:t>
            </w:r>
          </w:p>
          <w:p w:rsidR="00FA1FDB" w:rsidRPr="00FA1FDB" w:rsidRDefault="00186036" w:rsidP="002E2873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餐饮科</w:t>
            </w:r>
            <w:r w:rsidR="00FA1FDB" w:rsidRPr="00FA1FDB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</w:tr>
      <w:tr w:rsidR="00FA1FDB" w:rsidRPr="00FA1FDB" w:rsidTr="00483490">
        <w:trPr>
          <w:trHeight w:val="1251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-26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/>
              <w:t>城市规划建设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-57无障碍设施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hint="eastAsia"/>
                <w:kern w:val="0"/>
                <w:szCs w:val="21"/>
              </w:rPr>
              <w:t>1）文化、商业、医疗、学校等公共建筑及设施，新建居住建筑及居住区设有轮椅通道、扶手、缘石坡道等无障碍设施，管理、使用情况良好；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/>
              <w:t>2）机场、车站、政务大厅、医院设有无障碍卫生间，能够正常使用。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政务大厅：</w:t>
            </w:r>
          </w:p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①设有轮椅通道、扶手、缘石坡道等无障碍设施；</w:t>
            </w:r>
          </w:p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②管理、使用情况良好。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86036" w:rsidRDefault="00FA1FDB" w:rsidP="00186036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186036" w:rsidRDefault="00FA1FDB" w:rsidP="00186036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办公室</w:t>
            </w:r>
            <w:r w:rsidR="00186036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117603" w:rsidP="0018603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</w:t>
            </w:r>
          </w:p>
        </w:tc>
      </w:tr>
      <w:tr w:rsidR="00FA1FDB" w:rsidRPr="00FA1FDB" w:rsidTr="00483490">
        <w:trPr>
          <w:trHeight w:val="732"/>
          <w:jc w:val="center"/>
        </w:trPr>
        <w:tc>
          <w:tcPr>
            <w:tcW w:w="12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-27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城市管理和公共服务</w:t>
            </w:r>
          </w:p>
        </w:tc>
        <w:tc>
          <w:tcPr>
            <w:tcW w:w="19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-58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城市精细化管理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3）环境卫生干净整洁，垃圾清运及时、分类处理，无脏乱差现象，公共厕所保洁及时、无明显异味；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集贸市场：</w:t>
            </w:r>
          </w:p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①环境卫生干净整洁，垃圾清运及时、分类收集；</w:t>
            </w:r>
          </w:p>
          <w:p w:rsidR="00622C03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②管理规范有序，无占道经营、违章停车现象，无小广告乱张贴现象；</w:t>
            </w:r>
          </w:p>
          <w:p w:rsidR="00FA1FDB" w:rsidRPr="00FA1FDB" w:rsidRDefault="00FA1FDB" w:rsidP="00483490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③公共厕所保洁及时，无明显异味。</w:t>
            </w:r>
          </w:p>
        </w:tc>
        <w:tc>
          <w:tcPr>
            <w:tcW w:w="1552" w:type="dxa"/>
            <w:vMerge w:val="restart"/>
            <w:tcBorders>
              <w:bottom w:val="single" w:sz="4" w:space="0" w:color="auto"/>
            </w:tcBorders>
            <w:vAlign w:val="center"/>
          </w:tcPr>
          <w:p w:rsidR="00186036" w:rsidRDefault="00FA1FDB" w:rsidP="00186036">
            <w:pPr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FA1FDB" w:rsidP="0018603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市场</w:t>
            </w:r>
            <w:r w:rsidR="00186036">
              <w:rPr>
                <w:rFonts w:ascii="仿宋" w:eastAsia="仿宋" w:hAnsi="仿宋" w:cs="宋体" w:hint="eastAsia"/>
                <w:kern w:val="0"/>
                <w:szCs w:val="21"/>
              </w:rPr>
              <w:t>合同科</w:t>
            </w:r>
          </w:p>
        </w:tc>
      </w:tr>
      <w:tr w:rsidR="00FA1FDB" w:rsidRPr="00FA1FDB" w:rsidTr="00483490">
        <w:trPr>
          <w:trHeight w:val="622"/>
          <w:jc w:val="center"/>
        </w:trPr>
        <w:tc>
          <w:tcPr>
            <w:tcW w:w="1258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29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4）依法规范管理，公共秩序良好，无违章停车、占道经营、小广告乱张贴现象。</w:t>
            </w:r>
          </w:p>
        </w:tc>
        <w:tc>
          <w:tcPr>
            <w:tcW w:w="4680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A1FDB" w:rsidRPr="00FA1FDB" w:rsidTr="002E2873">
        <w:trPr>
          <w:trHeight w:val="1075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Ⅱ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-30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公共安全体系建设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-64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br w:type="page"/>
              <w:t>公共安全保障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hint="eastAsia"/>
                <w:kern w:val="0"/>
                <w:szCs w:val="21"/>
              </w:rPr>
              <w:t>2）社会面、重点单位及社区物防、技防、人防、消防水平符合安全要求。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政务大厅、集贸市场：</w:t>
            </w:r>
          </w:p>
          <w:p w:rsidR="00622C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①有符合标准的物防、技防、人防、消防设施；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②无占用、堵塞、封闭消防通道现象。</w:t>
            </w:r>
          </w:p>
        </w:tc>
        <w:tc>
          <w:tcPr>
            <w:tcW w:w="1552" w:type="dxa"/>
            <w:vAlign w:val="center"/>
          </w:tcPr>
          <w:p w:rsidR="00186036" w:rsidRDefault="00FA1FDB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2E2873" w:rsidRDefault="002E2873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办公室</w:t>
            </w:r>
            <w:r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FA1FDB" w:rsidRDefault="00FA1FDB" w:rsidP="00186036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市场</w:t>
            </w:r>
            <w:r w:rsidR="00186036">
              <w:rPr>
                <w:rFonts w:ascii="仿宋" w:eastAsia="仿宋" w:hAnsi="仿宋" w:cs="宋体" w:hint="eastAsia"/>
                <w:kern w:val="0"/>
                <w:szCs w:val="21"/>
              </w:rPr>
              <w:t>合同科</w:t>
            </w:r>
          </w:p>
        </w:tc>
      </w:tr>
      <w:tr w:rsidR="00FA1FDB" w:rsidRPr="00FA1FDB" w:rsidTr="00483490">
        <w:trPr>
          <w:trHeight w:val="764"/>
          <w:jc w:val="center"/>
        </w:trPr>
        <w:tc>
          <w:tcPr>
            <w:tcW w:w="1258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Ⅲ</w:t>
            </w:r>
            <w:r w:rsidRPr="00FA1FDB">
              <w:rPr>
                <w:rFonts w:ascii="仿宋" w:eastAsia="仿宋" w:hAnsi="仿宋" w:hint="eastAsia"/>
                <w:kern w:val="0"/>
                <w:szCs w:val="21"/>
              </w:rPr>
              <w:t>-65食品药品安全监管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A1FDB">
              <w:rPr>
                <w:rFonts w:ascii="仿宋" w:eastAsia="仿宋" w:hAnsi="仿宋" w:hint="eastAsia"/>
                <w:kern w:val="0"/>
                <w:szCs w:val="21"/>
              </w:rPr>
              <w:t>1）食品经营单位和集贸市场不出售过期、变质、伪劣食品，食品安全事故及时查处，无漏报、瞒报情况；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22C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商场超市、集贸市场</w:t>
            </w:r>
            <w:r w:rsidR="00262FCE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="00262FCE" w:rsidRPr="00FA1FDB">
              <w:rPr>
                <w:rFonts w:ascii="仿宋" w:eastAsia="仿宋" w:hAnsi="仿宋" w:cs="宋体" w:hint="eastAsia"/>
                <w:kern w:val="0"/>
                <w:szCs w:val="21"/>
              </w:rPr>
              <w:t>宾馆饭店</w:t>
            </w: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无过期、变质、伪劣食品</w:t>
            </w:r>
            <w:r w:rsidR="00873260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873260" w:rsidRPr="00873260">
              <w:rPr>
                <w:rFonts w:ascii="仿宋" w:eastAsia="仿宋" w:hAnsi="仿宋" w:cs="宋体" w:hint="eastAsia"/>
                <w:color w:val="0000FF"/>
                <w:kern w:val="0"/>
                <w:szCs w:val="21"/>
              </w:rPr>
              <w:t>接触直接入口食品从业人员取得有效的健康合格证明，防蝇、防鼠等设施健全，清洗消毒等制度落实到位</w:t>
            </w:r>
            <w:r w:rsidRPr="00873260">
              <w:rPr>
                <w:rFonts w:ascii="仿宋" w:eastAsia="仿宋" w:hAnsi="仿宋" w:cs="宋体" w:hint="eastAsia"/>
                <w:color w:val="0000FF"/>
                <w:kern w:val="0"/>
                <w:szCs w:val="21"/>
              </w:rPr>
              <w:t>。</w:t>
            </w:r>
          </w:p>
        </w:tc>
        <w:tc>
          <w:tcPr>
            <w:tcW w:w="1552" w:type="dxa"/>
            <w:vAlign w:val="center"/>
          </w:tcPr>
          <w:p w:rsidR="00186036" w:rsidRDefault="00FA1FDB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Default="00186036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食品流通科</w:t>
            </w:r>
            <w:r w:rsidR="00262FCE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</w:p>
          <w:p w:rsidR="00262FCE" w:rsidRPr="00FA1FDB" w:rsidRDefault="00262FCE" w:rsidP="00483490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餐饮</w:t>
            </w:r>
            <w:r w:rsidR="00186036">
              <w:rPr>
                <w:rFonts w:ascii="仿宋" w:eastAsia="仿宋" w:hAnsi="仿宋" w:cs="宋体" w:hint="eastAsia"/>
                <w:kern w:val="0"/>
                <w:szCs w:val="21"/>
              </w:rPr>
              <w:t>科</w:t>
            </w:r>
          </w:p>
        </w:tc>
      </w:tr>
      <w:tr w:rsidR="00FA1FDB" w:rsidRPr="00FA1FDB" w:rsidTr="00483490">
        <w:trPr>
          <w:trHeight w:val="722"/>
          <w:jc w:val="center"/>
        </w:trPr>
        <w:tc>
          <w:tcPr>
            <w:tcW w:w="1258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929" w:type="dxa"/>
            <w:vMerge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928" w:type="dxa"/>
            <w:shd w:val="clear" w:color="auto" w:fill="auto"/>
            <w:noWrap/>
            <w:vAlign w:val="center"/>
          </w:tcPr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2）公布举报电话，问题药品得到及时查处。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22C03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拨打问题药品举报电话：</w:t>
            </w:r>
          </w:p>
          <w:p w:rsidR="00FA1FDB" w:rsidRPr="00FA1FDB" w:rsidRDefault="00FA1FDB" w:rsidP="0048349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A1FDB">
              <w:rPr>
                <w:rFonts w:ascii="仿宋" w:eastAsia="仿宋" w:hAnsi="仿宋" w:cs="宋体" w:hint="eastAsia"/>
                <w:kern w:val="0"/>
                <w:szCs w:val="21"/>
              </w:rPr>
              <w:t>查验电话接通及服务情况。</w:t>
            </w:r>
          </w:p>
        </w:tc>
        <w:tc>
          <w:tcPr>
            <w:tcW w:w="1552" w:type="dxa"/>
            <w:vAlign w:val="center"/>
          </w:tcPr>
          <w:p w:rsidR="00186036" w:rsidRDefault="00FA1FDB" w:rsidP="00C92A39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 w:rsidRPr="00FA1FDB">
              <w:rPr>
                <w:rFonts w:ascii="仿宋" w:eastAsia="仿宋" w:hAnsi="仿宋" w:cs="Arial" w:hint="eastAsia"/>
                <w:szCs w:val="21"/>
              </w:rPr>
              <w:t>各</w:t>
            </w:r>
            <w:r w:rsidR="00186036">
              <w:rPr>
                <w:rFonts w:ascii="仿宋" w:eastAsia="仿宋" w:hAnsi="仿宋" w:cs="Arial" w:hint="eastAsia"/>
                <w:szCs w:val="21"/>
              </w:rPr>
              <w:t>所</w:t>
            </w:r>
            <w:r w:rsidRPr="00FA1FDB"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FA1FDB" w:rsidRPr="00C92A39" w:rsidRDefault="00FA1FDB" w:rsidP="00C92A39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 w:rsidRPr="00C92A39">
              <w:rPr>
                <w:rFonts w:ascii="仿宋" w:eastAsia="仿宋" w:hAnsi="仿宋" w:cs="Arial" w:hint="eastAsia"/>
                <w:szCs w:val="21"/>
              </w:rPr>
              <w:t>消保分局</w:t>
            </w:r>
          </w:p>
          <w:p w:rsidR="00C92A39" w:rsidRPr="00C92A39" w:rsidRDefault="00C92A39" w:rsidP="00C92A39">
            <w:pPr>
              <w:pStyle w:val="a4"/>
              <w:adjustRightInd w:val="0"/>
              <w:snapToGrid w:val="0"/>
              <w:spacing w:before="0" w:beforeAutospacing="0" w:after="0" w:line="260" w:lineRule="exact"/>
              <w:rPr>
                <w:rFonts w:ascii="仿宋" w:eastAsia="仿宋" w:hAnsi="仿宋" w:cs="Arial"/>
                <w:kern w:val="2"/>
                <w:sz w:val="21"/>
                <w:szCs w:val="21"/>
              </w:rPr>
            </w:pPr>
            <w:r w:rsidRPr="00C92A39">
              <w:rPr>
                <w:rFonts w:ascii="仿宋" w:eastAsia="仿宋" w:hAnsi="仿宋" w:cs="Arial" w:hint="eastAsia"/>
                <w:kern w:val="2"/>
                <w:sz w:val="21"/>
                <w:szCs w:val="21"/>
              </w:rPr>
              <w:lastRenderedPageBreak/>
              <w:t>稽查</w:t>
            </w:r>
            <w:r w:rsidR="00186036">
              <w:rPr>
                <w:rFonts w:ascii="仿宋" w:eastAsia="仿宋" w:hAnsi="仿宋" w:cs="Arial" w:hint="eastAsia"/>
                <w:kern w:val="2"/>
                <w:sz w:val="21"/>
                <w:szCs w:val="21"/>
              </w:rPr>
              <w:t>大队</w:t>
            </w:r>
            <w:r w:rsidRPr="00C92A39">
              <w:rPr>
                <w:rFonts w:ascii="仿宋" w:eastAsia="仿宋" w:hAnsi="仿宋" w:cs="Arial" w:hint="eastAsia"/>
                <w:kern w:val="2"/>
                <w:sz w:val="21"/>
                <w:szCs w:val="21"/>
              </w:rPr>
              <w:t>、</w:t>
            </w:r>
            <w:r w:rsidRPr="00C92A39">
              <w:rPr>
                <w:rFonts w:ascii="仿宋" w:eastAsia="仿宋" w:hAnsi="仿宋" w:cs="Arial"/>
                <w:kern w:val="2"/>
                <w:sz w:val="21"/>
                <w:szCs w:val="21"/>
              </w:rPr>
              <w:t xml:space="preserve"> </w:t>
            </w:r>
          </w:p>
          <w:p w:rsidR="002E2873" w:rsidRPr="00C92A39" w:rsidRDefault="00186036" w:rsidP="00C92A39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药械科</w:t>
            </w:r>
            <w:r w:rsidR="00C92A39" w:rsidRPr="00C92A39">
              <w:rPr>
                <w:rFonts w:ascii="仿宋" w:eastAsia="仿宋" w:hAnsi="仿宋" w:cs="Arial"/>
                <w:szCs w:val="21"/>
              </w:rPr>
              <w:t xml:space="preserve"> </w:t>
            </w:r>
          </w:p>
        </w:tc>
      </w:tr>
    </w:tbl>
    <w:p w:rsidR="00656B26" w:rsidRPr="00FA1FDB" w:rsidRDefault="00656B26">
      <w:pPr>
        <w:rPr>
          <w:rFonts w:ascii="仿宋" w:eastAsia="仿宋" w:hAnsi="仿宋"/>
          <w:szCs w:val="21"/>
        </w:rPr>
      </w:pPr>
    </w:p>
    <w:sectPr w:rsidR="00656B26" w:rsidRPr="00FA1FDB" w:rsidSect="00FC4397">
      <w:pgSz w:w="16838" w:h="11906" w:orient="landscape"/>
      <w:pgMar w:top="1588" w:right="1440" w:bottom="1588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ED" w:rsidRDefault="00C934ED">
      <w:r>
        <w:separator/>
      </w:r>
    </w:p>
  </w:endnote>
  <w:endnote w:type="continuationSeparator" w:id="1">
    <w:p w:rsidR="00C934ED" w:rsidRDefault="00C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ED" w:rsidRDefault="00C934ED">
      <w:r>
        <w:separator/>
      </w:r>
    </w:p>
  </w:footnote>
  <w:footnote w:type="continuationSeparator" w:id="1">
    <w:p w:rsidR="00C934ED" w:rsidRDefault="00C93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E80"/>
    <w:rsid w:val="000153AC"/>
    <w:rsid w:val="000742D1"/>
    <w:rsid w:val="000C7A09"/>
    <w:rsid w:val="00117603"/>
    <w:rsid w:val="00137613"/>
    <w:rsid w:val="00186036"/>
    <w:rsid w:val="001B6038"/>
    <w:rsid w:val="001F774C"/>
    <w:rsid w:val="00262FCE"/>
    <w:rsid w:val="002D39F3"/>
    <w:rsid w:val="002E2873"/>
    <w:rsid w:val="00313E52"/>
    <w:rsid w:val="00361838"/>
    <w:rsid w:val="003A626C"/>
    <w:rsid w:val="003E64C3"/>
    <w:rsid w:val="00483490"/>
    <w:rsid w:val="00513AC1"/>
    <w:rsid w:val="0058790A"/>
    <w:rsid w:val="00622C03"/>
    <w:rsid w:val="00656B26"/>
    <w:rsid w:val="00855B53"/>
    <w:rsid w:val="00873260"/>
    <w:rsid w:val="009B6A58"/>
    <w:rsid w:val="009C7FA8"/>
    <w:rsid w:val="00A5440F"/>
    <w:rsid w:val="00A9745D"/>
    <w:rsid w:val="00B30E80"/>
    <w:rsid w:val="00C07AA4"/>
    <w:rsid w:val="00C92A39"/>
    <w:rsid w:val="00C934ED"/>
    <w:rsid w:val="00D21264"/>
    <w:rsid w:val="00FA1FDB"/>
    <w:rsid w:val="00F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6A58"/>
    <w:rPr>
      <w:sz w:val="18"/>
      <w:szCs w:val="18"/>
    </w:rPr>
  </w:style>
  <w:style w:type="paragraph" w:styleId="a4">
    <w:name w:val="Normal (Web)"/>
    <w:basedOn w:val="a"/>
    <w:rsid w:val="00FA1FDB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61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1838"/>
    <w:rPr>
      <w:kern w:val="2"/>
      <w:sz w:val="18"/>
      <w:szCs w:val="18"/>
    </w:rPr>
  </w:style>
  <w:style w:type="paragraph" w:styleId="a6">
    <w:name w:val="footer"/>
    <w:basedOn w:val="a"/>
    <w:link w:val="Char0"/>
    <w:rsid w:val="00361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618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256</Words>
  <Characters>1461</Characters>
  <Application>Microsoft Office Word</Application>
  <DocSecurity>0</DocSecurity>
  <Lines>12</Lines>
  <Paragraphs>3</Paragraphs>
  <ScaleCrop>false</ScaleCrop>
  <Company>信念技术论坛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全国文明城市复评实地考察点位迎检工作责任分工</dc:title>
  <dc:creator>王章益</dc:creator>
  <cp:lastModifiedBy>黄建春</cp:lastModifiedBy>
  <cp:revision>5</cp:revision>
  <cp:lastPrinted>2017-08-08T02:57:00Z</cp:lastPrinted>
  <dcterms:created xsi:type="dcterms:W3CDTF">2017-08-24T08:28:00Z</dcterms:created>
  <dcterms:modified xsi:type="dcterms:W3CDTF">2017-08-28T02:16:00Z</dcterms:modified>
</cp:coreProperties>
</file>