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7" w:lineRule="auto"/>
        <w:rPr>
          <w:rFonts w:ascii="Arial"/>
          <w:sz w:val="21"/>
        </w:rPr>
      </w:pPr>
    </w:p>
    <w:p>
      <w:pPr>
        <w:spacing w:line="287" w:lineRule="auto"/>
        <w:rPr>
          <w:rFonts w:ascii="Arial"/>
          <w:sz w:val="21"/>
        </w:rPr>
      </w:pPr>
    </w:p>
    <w:p>
      <w:pPr>
        <w:spacing w:before="396" w:line="219" w:lineRule="auto"/>
        <w:ind w:left="0" w:leftChars="0" w:right="-239" w:rightChars="-114" w:firstLine="0" w:firstLineChars="0"/>
        <w:rPr>
          <w:rFonts w:ascii="宋体" w:hAnsi="宋体" w:eastAsia="宋体" w:cs="宋体"/>
          <w:w w:val="64"/>
          <w:sz w:val="122"/>
          <w:szCs w:val="122"/>
        </w:rPr>
      </w:pPr>
      <w:r>
        <w:rPr>
          <w:rFonts w:ascii="宋体" w:hAnsi="宋体" w:eastAsia="宋体" w:cs="宋体"/>
          <w:color w:val="FF0000"/>
          <w:spacing w:val="-59"/>
          <w:w w:val="64"/>
          <w:sz w:val="122"/>
          <w:szCs w:val="122"/>
          <w14:textOutline w14:w="22161" w14:cap="flat" w14:cmpd="sng">
            <w14:solidFill>
              <w14:srgbClr w14:val="FF0000"/>
            </w14:solidFill>
            <w14:prstDash w14:val="solid"/>
            <w14:miter w14:val="0"/>
          </w14:textOutline>
        </w:rPr>
        <w:t>温州市海区</w:t>
      </w:r>
      <w:r>
        <w:rPr>
          <w:rFonts w:hint="eastAsia" w:ascii="宋体" w:hAnsi="宋体" w:eastAsia="宋体" w:cs="宋体"/>
          <w:color w:val="FF0000"/>
          <w:spacing w:val="-59"/>
          <w:w w:val="64"/>
          <w:sz w:val="122"/>
          <w:szCs w:val="122"/>
          <w:lang w:val="en-US" w:eastAsia="zh-CN"/>
          <w14:textOutline w14:w="22161" w14:cap="flat" w14:cmpd="sng">
            <w14:solidFill>
              <w14:srgbClr w14:val="FF0000"/>
            </w14:solidFill>
            <w14:prstDash w14:val="solid"/>
            <w14:miter w14:val="0"/>
          </w14:textOutline>
        </w:rPr>
        <w:t>卫生健康局</w:t>
      </w:r>
      <w:r>
        <w:rPr>
          <w:rFonts w:ascii="宋体" w:hAnsi="宋体" w:eastAsia="宋体" w:cs="宋体"/>
          <w:color w:val="FF0000"/>
          <w:spacing w:val="-59"/>
          <w:w w:val="64"/>
          <w:sz w:val="122"/>
          <w:szCs w:val="122"/>
          <w14:textOutline w14:w="22161" w14:cap="flat" w14:cmpd="sng">
            <w14:solidFill>
              <w14:srgbClr w14:val="FF0000"/>
            </w14:solidFill>
            <w14:prstDash w14:val="solid"/>
            <w14:miter w14:val="0"/>
          </w14:textOutline>
        </w:rPr>
        <w:t>文件</w:t>
      </w:r>
    </w:p>
    <w:p>
      <w:pPr>
        <w:spacing w:line="252" w:lineRule="auto"/>
        <w:rPr>
          <w:rFonts w:ascii="Arial"/>
          <w:sz w:val="21"/>
        </w:rPr>
      </w:pPr>
    </w:p>
    <w:p>
      <w:pPr>
        <w:spacing w:line="252" w:lineRule="auto"/>
        <w:rPr>
          <w:rFonts w:ascii="Arial"/>
          <w:sz w:val="21"/>
        </w:rPr>
      </w:pPr>
    </w:p>
    <w:p>
      <w:pPr>
        <w:spacing w:before="157" w:line="335" w:lineRule="auto"/>
        <w:ind w:right="175"/>
        <w:jc w:val="center"/>
        <w:rPr>
          <w:rFonts w:hint="eastAsia" w:ascii="仿宋_GB2312" w:hAnsi="Arial" w:eastAsia="仿宋_GB2312" w:cs="仿宋_GB2312"/>
          <w:sz w:val="32"/>
          <w:szCs w:val="32"/>
        </w:rPr>
      </w:pPr>
      <w:r>
        <w:rPr>
          <w:rFonts w:hint="eastAsia" w:ascii="仿宋_GB2312" w:hAnsi="Arial" w:eastAsia="仿宋_GB2312" w:cs="仿宋_GB2312"/>
          <w:sz w:val="32"/>
          <w:szCs w:val="32"/>
        </w:rPr>
        <w:t>温瓯</w:t>
      </w:r>
      <w:r>
        <w:rPr>
          <w:rFonts w:hint="eastAsia" w:ascii="仿宋_GB2312" w:hAnsi="Arial" w:eastAsia="仿宋_GB2312" w:cs="仿宋_GB2312"/>
          <w:sz w:val="32"/>
          <w:szCs w:val="32"/>
          <w:lang w:val="en-US" w:eastAsia="zh-CN"/>
        </w:rPr>
        <w:t>卫发</w:t>
      </w:r>
      <w:r>
        <w:rPr>
          <w:rFonts w:hint="eastAsia" w:ascii="仿宋_GB2312" w:hAnsi="Arial" w:eastAsia="仿宋_GB2312" w:cs="仿宋_GB2312"/>
          <w:sz w:val="32"/>
          <w:szCs w:val="32"/>
        </w:rPr>
        <w:t>〔20</w:t>
      </w:r>
      <w:r>
        <w:rPr>
          <w:rFonts w:hint="eastAsia" w:ascii="仿宋_GB2312" w:hAnsi="Arial" w:eastAsia="仿宋_GB2312" w:cs="仿宋_GB2312"/>
          <w:sz w:val="32"/>
          <w:szCs w:val="32"/>
          <w:lang w:val="en-US" w:eastAsia="zh-CN"/>
        </w:rPr>
        <w:t>22</w:t>
      </w:r>
      <w:r>
        <w:rPr>
          <w:rFonts w:hint="eastAsia" w:ascii="仿宋_GB2312" w:hAnsi="Arial" w:eastAsia="仿宋_GB2312" w:cs="仿宋_GB2312"/>
          <w:sz w:val="32"/>
          <w:szCs w:val="32"/>
        </w:rPr>
        <w:t>〕</w:t>
      </w:r>
      <w:r>
        <w:rPr>
          <w:rFonts w:hint="eastAsia" w:ascii="仿宋_GB2312" w:eastAsia="仿宋_GB2312" w:cs="仿宋_GB2312"/>
          <w:sz w:val="32"/>
          <w:szCs w:val="32"/>
          <w:lang w:val="en-US" w:eastAsia="zh-CN"/>
        </w:rPr>
        <w:t xml:space="preserve">  </w:t>
      </w:r>
      <w:r>
        <w:rPr>
          <w:rFonts w:hint="eastAsia" w:ascii="仿宋_GB2312" w:hAnsi="Arial" w:eastAsia="仿宋_GB2312" w:cs="仿宋_GB2312"/>
          <w:sz w:val="32"/>
          <w:szCs w:val="32"/>
        </w:rPr>
        <w:t>号</w:t>
      </w:r>
    </w:p>
    <w:p>
      <w:pPr>
        <w:spacing w:line="79" w:lineRule="exact"/>
        <w:textAlignment w:val="center"/>
      </w:pPr>
      <w:r>
        <w:drawing>
          <wp:inline distT="0" distB="0" distL="0" distR="0">
            <wp:extent cx="5447665" cy="5016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5448270" cy="50768"/>
                    </a:xfrm>
                    <a:prstGeom prst="rect">
                      <a:avLst/>
                    </a:prstGeom>
                  </pic:spPr>
                </pic:pic>
              </a:graphicData>
            </a:graphic>
          </wp:inline>
        </w:drawing>
      </w:r>
    </w:p>
    <w:p>
      <w:pPr>
        <w:spacing w:line="324" w:lineRule="auto"/>
        <w:rPr>
          <w:rFonts w:ascii="Arial"/>
          <w:sz w:val="21"/>
        </w:rPr>
      </w:pPr>
    </w:p>
    <w:p>
      <w:pPr>
        <w:spacing w:line="325" w:lineRule="auto"/>
        <w:rPr>
          <w:rFonts w:ascii="Arial"/>
          <w:sz w:val="21"/>
        </w:rPr>
      </w:pPr>
    </w:p>
    <w:p>
      <w:pPr>
        <w:spacing w:before="146" w:line="219" w:lineRule="auto"/>
        <w:ind w:left="0" w:leftChars="0" w:firstLine="0" w:firstLineChars="0"/>
        <w:jc w:val="center"/>
        <w:rPr>
          <w:rFonts w:ascii="宋体" w:hAnsi="宋体" w:eastAsia="宋体" w:cs="宋体"/>
          <w:sz w:val="45"/>
          <w:szCs w:val="45"/>
        </w:rPr>
      </w:pPr>
      <w:r>
        <w:rPr>
          <w:rFonts w:ascii="宋体" w:hAnsi="宋体" w:eastAsia="宋体" w:cs="宋体"/>
          <w:spacing w:val="-9"/>
          <w:sz w:val="45"/>
          <w:szCs w:val="45"/>
          <w14:textOutline w14:w="8166" w14:cap="flat" w14:cmpd="sng">
            <w14:solidFill>
              <w14:srgbClr w14:val="000000"/>
            </w14:solidFill>
            <w14:prstDash w14:val="solid"/>
            <w14:miter w14:val="0"/>
          </w14:textOutline>
        </w:rPr>
        <w:t>温州市瓯海区</w:t>
      </w:r>
      <w:r>
        <w:rPr>
          <w:rFonts w:hint="eastAsia" w:ascii="宋体" w:hAnsi="宋体" w:eastAsia="宋体" w:cs="宋体"/>
          <w:spacing w:val="-9"/>
          <w:sz w:val="45"/>
          <w:szCs w:val="45"/>
          <w:lang w:val="en-US" w:eastAsia="zh-CN"/>
          <w14:textOutline w14:w="8166" w14:cap="flat" w14:cmpd="sng">
            <w14:solidFill>
              <w14:srgbClr w14:val="000000"/>
            </w14:solidFill>
            <w14:prstDash w14:val="solid"/>
            <w14:miter w14:val="0"/>
          </w14:textOutline>
        </w:rPr>
        <w:t>卫生健康</w:t>
      </w:r>
      <w:r>
        <w:rPr>
          <w:rFonts w:ascii="宋体" w:hAnsi="宋体" w:eastAsia="宋体" w:cs="宋体"/>
          <w:spacing w:val="-9"/>
          <w:sz w:val="45"/>
          <w:szCs w:val="45"/>
          <w14:textOutline w14:w="8166" w14:cap="flat" w14:cmpd="sng">
            <w14:solidFill>
              <w14:srgbClr w14:val="000000"/>
            </w14:solidFill>
            <w14:prstDash w14:val="solid"/>
            <w14:miter w14:val="0"/>
          </w14:textOutline>
        </w:rPr>
        <w:t>局</w:t>
      </w:r>
    </w:p>
    <w:p>
      <w:pPr>
        <w:spacing w:before="146" w:line="219" w:lineRule="auto"/>
        <w:jc w:val="center"/>
        <w:rPr>
          <w:rFonts w:ascii="宋体" w:hAnsi="宋体" w:eastAsia="宋体" w:cs="宋体"/>
          <w:spacing w:val="-9"/>
          <w:sz w:val="45"/>
          <w:szCs w:val="45"/>
          <w14:textOutline w14:w="8166" w14:cap="flat" w14:cmpd="sng">
            <w14:solidFill>
              <w14:srgbClr w14:val="000000"/>
            </w14:solidFill>
            <w14:prstDash w14:val="solid"/>
            <w14:miter w14:val="0"/>
          </w14:textOutline>
        </w:rPr>
      </w:pPr>
      <w:bookmarkStart w:id="0" w:name="_GoBack"/>
      <w:r>
        <w:rPr>
          <w:rFonts w:ascii="宋体" w:hAnsi="宋体" w:eastAsia="宋体" w:cs="宋体"/>
          <w:spacing w:val="-9"/>
          <w:sz w:val="45"/>
          <w:szCs w:val="45"/>
          <w14:textOutline w14:w="8166" w14:cap="flat" w14:cmpd="sng">
            <w14:solidFill>
              <w14:srgbClr w14:val="000000"/>
            </w14:solidFill>
            <w14:prstDash w14:val="solid"/>
            <w14:miter w14:val="0"/>
          </w14:textOutline>
        </w:rPr>
        <w:t>关于农村独生子女家庭社会养老保险</w:t>
      </w:r>
      <w:r>
        <w:rPr>
          <w:rFonts w:hint="eastAsia" w:ascii="宋体" w:hAnsi="宋体" w:eastAsia="宋体" w:cs="宋体"/>
          <w:spacing w:val="-9"/>
          <w:sz w:val="45"/>
          <w:szCs w:val="45"/>
          <w:lang w:val="en-US" w:eastAsia="zh-CN"/>
          <w14:textOutline w14:w="8166" w14:cap="flat" w14:cmpd="sng">
            <w14:solidFill>
              <w14:srgbClr w14:val="000000"/>
            </w14:solidFill>
            <w14:prstDash w14:val="solid"/>
            <w14:miter w14:val="0"/>
          </w14:textOutline>
        </w:rPr>
        <w:t>政</w:t>
      </w:r>
      <w:r>
        <w:rPr>
          <w:rFonts w:ascii="宋体" w:hAnsi="宋体" w:eastAsia="宋体" w:cs="宋体"/>
          <w:spacing w:val="-9"/>
          <w:sz w:val="45"/>
          <w:szCs w:val="45"/>
          <w14:textOutline w14:w="8166" w14:cap="flat" w14:cmpd="sng">
            <w14:solidFill>
              <w14:srgbClr w14:val="000000"/>
            </w14:solidFill>
            <w14:prstDash w14:val="solid"/>
            <w14:miter w14:val="0"/>
          </w14:textOutline>
        </w:rPr>
        <w:t>策</w:t>
      </w:r>
    </w:p>
    <w:p>
      <w:pPr>
        <w:spacing w:before="146" w:line="219" w:lineRule="auto"/>
        <w:jc w:val="center"/>
        <w:rPr>
          <w:rFonts w:ascii="宋体" w:hAnsi="宋体" w:eastAsia="宋体" w:cs="宋体"/>
          <w:spacing w:val="-9"/>
          <w:sz w:val="45"/>
          <w:szCs w:val="45"/>
          <w14:textOutline w14:w="8166" w14:cap="flat" w14:cmpd="sng">
            <w14:solidFill>
              <w14:srgbClr w14:val="000000"/>
            </w14:solidFill>
            <w14:prstDash w14:val="solid"/>
            <w14:miter w14:val="0"/>
          </w14:textOutline>
        </w:rPr>
      </w:pPr>
      <w:r>
        <w:rPr>
          <w:rFonts w:hint="eastAsia" w:ascii="宋体" w:hAnsi="宋体" w:eastAsia="宋体" w:cs="宋体"/>
          <w:spacing w:val="-9"/>
          <w:sz w:val="45"/>
          <w:szCs w:val="45"/>
          <w14:textOutline w14:w="8166" w14:cap="flat" w14:cmpd="sng">
            <w14:solidFill>
              <w14:srgbClr w14:val="000000"/>
            </w14:solidFill>
            <w14:prstDash w14:val="solid"/>
            <w14:miter w14:val="0"/>
          </w14:textOutline>
        </w:rPr>
        <w:t>确认条件的政策性</w:t>
      </w:r>
      <w:r>
        <w:rPr>
          <w:rFonts w:ascii="宋体" w:hAnsi="宋体" w:eastAsia="宋体" w:cs="宋体"/>
          <w:spacing w:val="-9"/>
          <w:sz w:val="45"/>
          <w:szCs w:val="45"/>
          <w14:textOutline w14:w="8166" w14:cap="flat" w14:cmpd="sng">
            <w14:solidFill>
              <w14:srgbClr w14:val="000000"/>
            </w14:solidFill>
            <w14:prstDash w14:val="solid"/>
            <w14:miter w14:val="0"/>
          </w14:textOutline>
        </w:rPr>
        <w:t>补充解释的通知</w:t>
      </w:r>
    </w:p>
    <w:bookmarkEnd w:id="0"/>
    <w:p>
      <w:pPr>
        <w:spacing w:before="146" w:line="219" w:lineRule="auto"/>
        <w:jc w:val="center"/>
        <w:rPr>
          <w:rFonts w:hint="default" w:ascii="宋体" w:hAnsi="宋体" w:eastAsia="宋体" w:cs="宋体"/>
          <w:spacing w:val="-9"/>
          <w:sz w:val="45"/>
          <w:szCs w:val="45"/>
          <w:lang w:val="en-US" w:eastAsia="zh-CN"/>
          <w14:textOutline w14:w="8166" w14:cap="flat" w14:cmpd="sng">
            <w14:solidFill>
              <w14:srgbClr w14:val="000000"/>
            </w14:solidFill>
            <w14:prstDash w14:val="solid"/>
            <w14:miter w14:val="0"/>
          </w14:textOutline>
        </w:rPr>
      </w:pPr>
      <w:r>
        <w:rPr>
          <w:rFonts w:hint="eastAsia" w:ascii="宋体" w:hAnsi="宋体" w:eastAsia="宋体" w:cs="宋体"/>
          <w:spacing w:val="-9"/>
          <w:sz w:val="45"/>
          <w:szCs w:val="45"/>
          <w:lang w:val="en-US" w:eastAsia="zh-CN"/>
          <w14:textOutline w14:w="8166" w14:cap="flat" w14:cmpd="sng">
            <w14:solidFill>
              <w14:srgbClr w14:val="000000"/>
            </w14:solidFill>
            <w14:prstDash w14:val="solid"/>
            <w14:miter w14:val="0"/>
          </w14:textOutline>
        </w:rPr>
        <w:t>(征求意见稿)</w:t>
      </w:r>
    </w:p>
    <w:p>
      <w:pPr>
        <w:spacing w:line="259"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right="176"/>
        <w:jc w:val="left"/>
        <w:textAlignment w:val="baseline"/>
        <w:rPr>
          <w:rFonts w:hint="eastAsia" w:ascii="仿宋_GB2312" w:hAnsi="Arial" w:eastAsia="仿宋_GB2312" w:cs="仿宋_GB2312"/>
          <w:sz w:val="32"/>
          <w:szCs w:val="32"/>
          <w:lang w:eastAsia="zh-CN"/>
        </w:rPr>
      </w:pPr>
      <w:r>
        <w:rPr>
          <w:rFonts w:hint="eastAsia" w:ascii="仿宋_GB2312" w:hAnsi="Arial" w:eastAsia="仿宋_GB2312" w:cs="仿宋_GB2312"/>
          <w:sz w:val="32"/>
          <w:szCs w:val="32"/>
        </w:rPr>
        <w:t>各街道办事处、泽雅镇人民政府</w:t>
      </w:r>
      <w:r>
        <w:rPr>
          <w:rFonts w:hint="eastAsia" w:ascii="仿宋_GB2312" w:hAnsi="Arial"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176" w:firstLine="640" w:firstLineChars="200"/>
        <w:textAlignment w:val="baseline"/>
        <w:rPr>
          <w:rFonts w:hint="eastAsia" w:ascii="仿宋_GB2312" w:hAnsi="Arial" w:eastAsia="仿宋_GB2312" w:cs="仿宋_GB2312"/>
          <w:sz w:val="32"/>
          <w:szCs w:val="32"/>
        </w:rPr>
      </w:pPr>
      <w:r>
        <w:rPr>
          <w:rFonts w:hint="eastAsia" w:ascii="仿宋_GB2312" w:hAnsi="Arial" w:eastAsia="仿宋_GB2312" w:cs="仿宋_GB2312"/>
          <w:sz w:val="32"/>
          <w:szCs w:val="32"/>
        </w:rPr>
        <w:t>为了更好地实施我区农村独生子女家庭社会养老保险政策</w:t>
      </w:r>
      <w:r>
        <w:rPr>
          <w:rFonts w:hint="eastAsia" w:ascii="仿宋_GB2312" w:hAnsi="Arial" w:eastAsia="仿宋_GB2312" w:cs="仿宋_GB2312"/>
          <w:sz w:val="32"/>
          <w:szCs w:val="32"/>
          <w:lang w:eastAsia="zh-CN"/>
        </w:rPr>
        <w:t>，</w:t>
      </w:r>
      <w:r>
        <w:rPr>
          <w:rFonts w:hint="eastAsia" w:ascii="仿宋_GB2312" w:hAnsi="Arial" w:eastAsia="仿宋_GB2312" w:cs="仿宋_GB2312"/>
          <w:sz w:val="32"/>
          <w:szCs w:val="32"/>
        </w:rPr>
        <w:t>根据《浙江省人口与计划生育条例》、《温州市瓯海区人民政府办公室关于印发温州市瓯海区农村独生子女家庭社会养老保险暂行办法的通知》(温瓯政办发〔2009〕77号)</w:t>
      </w:r>
      <w:r>
        <w:rPr>
          <w:rFonts w:hint="eastAsia" w:ascii="仿宋_GB2312" w:hAnsi="Arial" w:eastAsia="仿宋_GB2312" w:cs="仿宋_GB2312"/>
          <w:sz w:val="32"/>
          <w:szCs w:val="32"/>
          <w:lang w:val="en-US" w:eastAsia="zh-CN"/>
        </w:rPr>
        <w:t>及《关于印发温州市瓯海区农村独生子女家庭社会养老保险参保对象确认条件的政策性解释的通知》（温瓯卫发</w:t>
      </w:r>
      <w:r>
        <w:rPr>
          <w:rFonts w:hint="eastAsia" w:ascii="仿宋_GB2312" w:hAnsi="Arial" w:eastAsia="仿宋_GB2312" w:cs="仿宋_GB2312"/>
          <w:sz w:val="32"/>
          <w:szCs w:val="32"/>
        </w:rPr>
        <w:t>〔</w:t>
      </w:r>
      <w:r>
        <w:rPr>
          <w:rFonts w:hint="eastAsia" w:ascii="仿宋_GB2312" w:hAnsi="Arial" w:eastAsia="仿宋_GB2312" w:cs="仿宋_GB2312"/>
          <w:sz w:val="32"/>
          <w:szCs w:val="32"/>
          <w:lang w:val="en-US" w:eastAsia="zh-CN"/>
        </w:rPr>
        <w:t>2021</w:t>
      </w:r>
      <w:r>
        <w:rPr>
          <w:rFonts w:hint="eastAsia" w:ascii="仿宋_GB2312" w:hAnsi="Arial" w:eastAsia="仿宋_GB2312" w:cs="仿宋_GB2312"/>
          <w:sz w:val="32"/>
          <w:szCs w:val="32"/>
        </w:rPr>
        <w:t>〕</w:t>
      </w:r>
      <w:r>
        <w:rPr>
          <w:rFonts w:hint="eastAsia" w:ascii="仿宋_GB2312" w:hAnsi="Arial" w:eastAsia="仿宋_GB2312" w:cs="仿宋_GB2312"/>
          <w:sz w:val="32"/>
          <w:szCs w:val="32"/>
          <w:lang w:val="en-US" w:eastAsia="zh-CN"/>
        </w:rPr>
        <w:t>45</w:t>
      </w:r>
      <w:r>
        <w:rPr>
          <w:rFonts w:hint="eastAsia" w:ascii="仿宋_GB2312" w:hAnsi="Arial" w:eastAsia="仿宋_GB2312" w:cs="仿宋_GB2312"/>
          <w:sz w:val="32"/>
          <w:szCs w:val="32"/>
        </w:rPr>
        <w:t>号</w:t>
      </w:r>
      <w:r>
        <w:rPr>
          <w:rFonts w:hint="eastAsia" w:ascii="仿宋_GB2312" w:hAnsi="Arial" w:eastAsia="仿宋_GB2312" w:cs="仿宋_GB2312"/>
          <w:sz w:val="32"/>
          <w:szCs w:val="32"/>
          <w:lang w:val="en-US" w:eastAsia="zh-CN"/>
        </w:rPr>
        <w:t>）</w:t>
      </w:r>
      <w:r>
        <w:rPr>
          <w:rFonts w:hint="eastAsia" w:ascii="仿宋_GB2312" w:hAnsi="Arial" w:eastAsia="仿宋_GB2312" w:cs="仿宋_GB2312"/>
          <w:sz w:val="32"/>
          <w:szCs w:val="32"/>
        </w:rPr>
        <w:t>等有关法律法规和规范性文件精神,现将农村独生子女家庭社会养老保险政策作如下补充解释:</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firstLine="660" w:firstLineChars="200"/>
        <w:textAlignment w:val="baseline"/>
        <w:outlineLvl w:val="0"/>
        <w:rPr>
          <w:rFonts w:ascii="黑体" w:hAnsi="黑体" w:eastAsia="黑体" w:cs="黑体"/>
          <w:spacing w:val="10"/>
          <w:sz w:val="31"/>
          <w:szCs w:val="31"/>
          <w14:textOutline w14:w="5626" w14:cap="flat" w14:cmpd="sng">
            <w14:solidFill>
              <w14:srgbClr w14:val="000000"/>
            </w14:solidFill>
            <w14:prstDash w14:val="solid"/>
            <w14:miter w14:val="0"/>
          </w14:textOutline>
        </w:rPr>
      </w:pPr>
      <w:r>
        <w:rPr>
          <w:rFonts w:hint="eastAsia" w:ascii="黑体" w:hAnsi="黑体" w:eastAsia="黑体" w:cs="黑体"/>
          <w:spacing w:val="10"/>
          <w:sz w:val="31"/>
          <w:szCs w:val="31"/>
          <w:lang w:val="en-US" w:eastAsia="zh-CN"/>
          <w14:textOutline w14:w="5626" w14:cap="flat" w14:cmpd="sng">
            <w14:solidFill>
              <w14:srgbClr w14:val="000000"/>
            </w14:solidFill>
            <w14:prstDash w14:val="solid"/>
            <w14:miter w14:val="0"/>
          </w14:textOutline>
        </w:rPr>
        <w:t>取消</w:t>
      </w:r>
      <w:r>
        <w:rPr>
          <w:rFonts w:ascii="黑体" w:hAnsi="黑体" w:eastAsia="黑体" w:cs="黑体"/>
          <w:spacing w:val="10"/>
          <w:sz w:val="31"/>
          <w:szCs w:val="31"/>
          <w14:textOutline w14:w="5626" w14:cap="flat" w14:cmpd="sng">
            <w14:solidFill>
              <w14:srgbClr w14:val="000000"/>
            </w14:solidFill>
            <w14:prstDash w14:val="solid"/>
            <w14:miter w14:val="0"/>
          </w14:textOutline>
        </w:rPr>
        <w:t>出国人员的</w:t>
      </w:r>
      <w:r>
        <w:rPr>
          <w:rFonts w:hint="eastAsia" w:ascii="黑体" w:hAnsi="黑体" w:eastAsia="黑体" w:cs="黑体"/>
          <w:spacing w:val="10"/>
          <w:sz w:val="31"/>
          <w:szCs w:val="31"/>
          <w:lang w:val="en-US" w:eastAsia="zh-CN"/>
          <w14:textOutline w14:w="5626" w14:cap="flat" w14:cmpd="sng">
            <w14:solidFill>
              <w14:srgbClr w14:val="000000"/>
            </w14:solidFill>
            <w14:prstDash w14:val="solid"/>
            <w14:miter w14:val="0"/>
          </w14:textOutline>
        </w:rPr>
        <w:t>相关</w:t>
      </w:r>
      <w:r>
        <w:rPr>
          <w:rFonts w:ascii="黑体" w:hAnsi="黑体" w:eastAsia="黑体" w:cs="黑体"/>
          <w:spacing w:val="10"/>
          <w:sz w:val="31"/>
          <w:szCs w:val="31"/>
          <w14:textOutline w14:w="5626" w14:cap="flat" w14:cmpd="sng">
            <w14:solidFill>
              <w14:srgbClr w14:val="000000"/>
            </w14:solidFill>
            <w14:prstDash w14:val="solid"/>
            <w14:miter w14:val="0"/>
          </w14:textOutline>
        </w:rPr>
        <w:t>规定</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175" w:firstLine="640" w:firstLineChars="200"/>
        <w:textAlignment w:val="baseline"/>
        <w:rPr>
          <w:rFonts w:hint="eastAsia" w:ascii="仿宋_GB2312" w:hAnsi="Arial" w:eastAsia="仿宋_GB2312" w:cs="仿宋_GB2312"/>
          <w:sz w:val="32"/>
          <w:szCs w:val="32"/>
          <w:lang w:val="en-US" w:eastAsia="zh-CN"/>
        </w:rPr>
      </w:pPr>
      <w:r>
        <w:rPr>
          <w:rFonts w:hint="eastAsia" w:ascii="仿宋_GB2312" w:eastAsia="仿宋_GB2312" w:cs="仿宋_GB2312"/>
          <w:sz w:val="32"/>
          <w:szCs w:val="32"/>
          <w:lang w:val="en-US" w:eastAsia="zh-CN"/>
        </w:rPr>
        <w:t>取消</w:t>
      </w:r>
      <w:r>
        <w:rPr>
          <w:rFonts w:hint="eastAsia" w:ascii="仿宋_GB2312" w:hAnsi="Arial" w:eastAsia="仿宋_GB2312" w:cs="仿宋_GB2312"/>
          <w:sz w:val="32"/>
          <w:szCs w:val="32"/>
          <w:lang w:val="en-US" w:eastAsia="zh-CN"/>
        </w:rPr>
        <w:t>《关于印发温州市瓯海区农村独生子女家庭社会养老保险参保对象确认条件的政策性解释的通知》（温瓯卫发〔2021〕45号）文件</w:t>
      </w:r>
      <w:r>
        <w:rPr>
          <w:rFonts w:hint="eastAsia" w:ascii="仿宋_GB2312" w:eastAsia="仿宋_GB2312" w:cs="仿宋_GB2312"/>
          <w:sz w:val="32"/>
          <w:szCs w:val="32"/>
          <w:lang w:val="en-US" w:eastAsia="zh-CN"/>
        </w:rPr>
        <w:t>中</w:t>
      </w:r>
      <w:r>
        <w:rPr>
          <w:rFonts w:hint="eastAsia" w:ascii="仿宋_GB2312" w:hAnsi="Arial" w:eastAsia="仿宋_GB2312" w:cs="仿宋_GB2312"/>
          <w:sz w:val="32"/>
          <w:szCs w:val="32"/>
          <w:lang w:val="en-US" w:eastAsia="zh-CN"/>
        </w:rPr>
        <w:t>第二部分第七条关于出国人员的规定：“1.夫妻双方其中一方在参保期间出国的且出国时间满6个月以上的，从下一年起不再给予享受；2.夫妻双方其中一方在申请参保前就已经出国的，不列入享受范围；3.夫妻双方回国后，居住满6个月以上且承诺长期在国内居住的，列入享受范围。”</w:t>
      </w:r>
    </w:p>
    <w:p>
      <w:pPr>
        <w:keepNext w:val="0"/>
        <w:keepLines w:val="0"/>
        <w:pageBreakBefore w:val="0"/>
        <w:numPr>
          <w:ilvl w:val="0"/>
          <w:numId w:val="1"/>
        </w:numPr>
        <w:wordWrap/>
        <w:overflowPunct/>
        <w:topLinePunct w:val="0"/>
        <w:bidi w:val="0"/>
        <w:spacing w:line="520" w:lineRule="exact"/>
        <w:ind w:firstLine="660" w:firstLineChars="200"/>
        <w:outlineLvl w:val="0"/>
        <w:rPr>
          <w:rFonts w:ascii="黑体" w:hAnsi="黑体" w:eastAsia="黑体" w:cs="黑体"/>
          <w:spacing w:val="10"/>
          <w:sz w:val="31"/>
          <w:szCs w:val="31"/>
          <w14:textOutline w14:w="5626" w14:cap="flat" w14:cmpd="sng">
            <w14:solidFill>
              <w14:srgbClr w14:val="000000"/>
            </w14:solidFill>
            <w14:prstDash w14:val="solid"/>
            <w14:miter w14:val="0"/>
          </w14:textOutline>
        </w:rPr>
      </w:pPr>
      <w:r>
        <w:rPr>
          <w:rFonts w:ascii="黑体" w:hAnsi="黑体" w:eastAsia="黑体" w:cs="黑体"/>
          <w:spacing w:val="10"/>
          <w:sz w:val="31"/>
          <w:szCs w:val="31"/>
          <w14:textOutline w14:w="5626" w14:cap="flat" w14:cmpd="sng">
            <w14:solidFill>
              <w14:srgbClr w14:val="000000"/>
            </w14:solidFill>
            <w14:prstDash w14:val="solid"/>
            <w14:miter w14:val="0"/>
          </w14:textOutline>
        </w:rPr>
        <w:t>出国人员</w:t>
      </w:r>
      <w:r>
        <w:rPr>
          <w:rFonts w:hint="eastAsia" w:ascii="黑体" w:hAnsi="黑体" w:eastAsia="黑体" w:cs="黑体"/>
          <w:spacing w:val="10"/>
          <w:sz w:val="31"/>
          <w:szCs w:val="31"/>
          <w:lang w:val="en-US" w:eastAsia="zh-CN"/>
          <w14:textOutline w14:w="5626" w14:cap="flat" w14:cmpd="sng">
            <w14:solidFill>
              <w14:srgbClr w14:val="000000"/>
            </w14:solidFill>
            <w14:prstDash w14:val="solid"/>
            <w14:miter w14:val="0"/>
          </w14:textOutline>
        </w:rPr>
        <w:t>相关</w:t>
      </w:r>
      <w:r>
        <w:rPr>
          <w:rFonts w:ascii="黑体" w:hAnsi="黑体" w:eastAsia="黑体" w:cs="黑体"/>
          <w:spacing w:val="10"/>
          <w:sz w:val="31"/>
          <w:szCs w:val="31"/>
          <w14:textOutline w14:w="5626" w14:cap="flat" w14:cmpd="sng">
            <w14:solidFill>
              <w14:srgbClr w14:val="000000"/>
            </w14:solidFill>
            <w14:prstDash w14:val="solid"/>
            <w14:miter w14:val="0"/>
          </w14:textOutline>
        </w:rPr>
        <w:t>规定</w:t>
      </w:r>
      <w:r>
        <w:rPr>
          <w:rFonts w:hint="eastAsia" w:ascii="黑体" w:hAnsi="黑体" w:eastAsia="黑体" w:cs="黑体"/>
          <w:spacing w:val="10"/>
          <w:sz w:val="31"/>
          <w:szCs w:val="31"/>
          <w:lang w:val="en-US" w:eastAsia="zh-CN"/>
          <w14:textOutline w14:w="5626" w14:cap="flat" w14:cmpd="sng">
            <w14:solidFill>
              <w14:srgbClr w14:val="000000"/>
            </w14:solidFill>
            <w14:prstDash w14:val="solid"/>
            <w14:miter w14:val="0"/>
          </w14:textOutline>
        </w:rPr>
        <w:t>调整后的政策衔接</w:t>
      </w:r>
    </w:p>
    <w:p>
      <w:pPr>
        <w:pStyle w:val="3"/>
        <w:keepNext w:val="0"/>
        <w:keepLines w:val="0"/>
        <w:pageBreakBefore w:val="0"/>
        <w:wordWrap/>
        <w:overflowPunct/>
        <w:topLinePunct w:val="0"/>
        <w:bidi w:val="0"/>
        <w:spacing w:line="520" w:lineRule="exact"/>
        <w:ind w:left="0" w:leftChars="0" w:firstLine="640" w:firstLineChars="200"/>
        <w:jc w:val="both"/>
        <w:rPr>
          <w:rFonts w:hint="default"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（一）符合申报农村独生子女养老保险政策的夫妻一方或双方人在国外的，</w:t>
      </w:r>
      <w:r>
        <w:rPr>
          <w:rFonts w:hint="eastAsia" w:ascii="仿宋_GB2312" w:eastAsia="仿宋_GB2312" w:cs="仿宋_GB2312"/>
          <w:snapToGrid w:val="0"/>
          <w:color w:val="000000"/>
          <w:kern w:val="0"/>
          <w:sz w:val="32"/>
          <w:szCs w:val="32"/>
          <w:lang w:val="en-US" w:eastAsia="zh-CN"/>
        </w:rPr>
        <w:t>可以</w:t>
      </w:r>
      <w:r>
        <w:rPr>
          <w:rFonts w:hint="eastAsia" w:ascii="仿宋_GB2312" w:hAnsi="Arial" w:eastAsia="仿宋_GB2312" w:cs="仿宋_GB2312"/>
          <w:snapToGrid w:val="0"/>
          <w:color w:val="000000"/>
          <w:kern w:val="0"/>
          <w:sz w:val="32"/>
          <w:szCs w:val="32"/>
          <w:lang w:val="en-US" w:eastAsia="zh-CN"/>
        </w:rPr>
        <w:t>委托办理农村独生子女家庭社会养老保险补助申请事项，审核通过后当年起发放</w:t>
      </w:r>
      <w:r>
        <w:rPr>
          <w:rFonts w:hint="eastAsia" w:ascii="仿宋_GB2312" w:eastAsia="仿宋_GB2312" w:cs="仿宋_GB2312"/>
          <w:snapToGrid w:val="0"/>
          <w:color w:val="000000"/>
          <w:kern w:val="0"/>
          <w:sz w:val="32"/>
          <w:szCs w:val="32"/>
          <w:lang w:val="en-US" w:eastAsia="zh-CN"/>
        </w:rPr>
        <w:t>，直至男性年满59周岁、女性年满54周岁为止。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（二）2021年清理发现因出国导致不符合享受农村独生子女家庭社会养老保险补助的对象，按以下分类处理：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1.已全额退回独生子女养老保险补助的，可视为未曾享受该政策，该夫妻双方年满60周岁后</w:t>
      </w:r>
      <w:r>
        <w:rPr>
          <w:rFonts w:hint="eastAsia" w:ascii="仿宋_GB2312" w:eastAsia="仿宋_GB2312" w:cs="仿宋_GB2312"/>
          <w:snapToGrid w:val="0"/>
          <w:color w:val="000000"/>
          <w:kern w:val="0"/>
          <w:sz w:val="32"/>
          <w:szCs w:val="32"/>
          <w:lang w:val="en-US" w:eastAsia="zh-CN"/>
        </w:rPr>
        <w:t>可以</w:t>
      </w:r>
      <w:r>
        <w:rPr>
          <w:rFonts w:hint="eastAsia" w:ascii="仿宋_GB2312" w:hAnsi="Arial" w:eastAsia="仿宋_GB2312" w:cs="仿宋_GB2312"/>
          <w:snapToGrid w:val="0"/>
          <w:color w:val="000000"/>
          <w:kern w:val="0"/>
          <w:sz w:val="32"/>
          <w:szCs w:val="32"/>
          <w:lang w:val="en-US" w:eastAsia="zh-CN"/>
        </w:rPr>
        <w:t>申请奖励扶助或补助慰问金政策。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2.已退回出国期间独生子女养老保险补助的，自2022年起正常发放</w:t>
      </w:r>
      <w:r>
        <w:rPr>
          <w:rFonts w:hint="eastAsia" w:ascii="仿宋_GB2312" w:eastAsia="仿宋_GB2312" w:cs="仿宋_GB2312"/>
          <w:snapToGrid w:val="0"/>
          <w:color w:val="000000"/>
          <w:kern w:val="0"/>
          <w:sz w:val="32"/>
          <w:szCs w:val="32"/>
          <w:lang w:val="en-US" w:eastAsia="zh-CN"/>
        </w:rPr>
        <w:t>。</w:t>
      </w:r>
    </w:p>
    <w:p>
      <w:pPr>
        <w:pStyle w:val="3"/>
        <w:keepNext w:val="0"/>
        <w:keepLines w:val="0"/>
        <w:pageBreakBefore w:val="0"/>
        <w:wordWrap/>
        <w:overflowPunct/>
        <w:topLinePunct w:val="0"/>
        <w:bidi w:val="0"/>
        <w:spacing w:line="520" w:lineRule="exact"/>
        <w:ind w:left="0" w:leftChars="0" w:firstLine="640" w:firstLineChars="200"/>
        <w:jc w:val="both"/>
        <w:rPr>
          <w:rFonts w:hint="eastAsia"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3.</w:t>
      </w:r>
      <w:r>
        <w:rPr>
          <w:rFonts w:hint="eastAsia" w:ascii="仿宋_GB2312" w:eastAsia="仿宋_GB2312" w:cs="仿宋_GB2312"/>
          <w:snapToGrid w:val="0"/>
          <w:color w:val="000000"/>
          <w:kern w:val="0"/>
          <w:sz w:val="32"/>
          <w:szCs w:val="32"/>
          <w:lang w:val="en-US" w:eastAsia="zh-CN"/>
        </w:rPr>
        <w:t>尚</w:t>
      </w:r>
      <w:r>
        <w:rPr>
          <w:rFonts w:hint="eastAsia" w:ascii="仿宋_GB2312" w:hAnsi="Arial" w:eastAsia="仿宋_GB2312" w:cs="仿宋_GB2312"/>
          <w:snapToGrid w:val="0"/>
          <w:color w:val="000000"/>
          <w:kern w:val="0"/>
          <w:sz w:val="32"/>
          <w:szCs w:val="32"/>
          <w:lang w:val="en-US" w:eastAsia="zh-CN"/>
        </w:rPr>
        <w:t>未退款的，</w:t>
      </w:r>
      <w:r>
        <w:rPr>
          <w:rFonts w:hint="eastAsia" w:ascii="仿宋_GB2312" w:eastAsia="仿宋_GB2312" w:cs="仿宋_GB2312"/>
          <w:snapToGrid w:val="0"/>
          <w:color w:val="000000"/>
          <w:kern w:val="0"/>
          <w:sz w:val="32"/>
          <w:szCs w:val="32"/>
          <w:lang w:val="en-US" w:eastAsia="zh-CN"/>
        </w:rPr>
        <w:t>自2022年起，按实际享受年数</w:t>
      </w:r>
      <w:r>
        <w:rPr>
          <w:rFonts w:hint="eastAsia" w:ascii="仿宋_GB2312" w:hAnsi="Arial" w:eastAsia="仿宋_GB2312" w:cs="仿宋_GB2312"/>
          <w:snapToGrid w:val="0"/>
          <w:color w:val="000000"/>
          <w:kern w:val="0"/>
          <w:sz w:val="32"/>
          <w:szCs w:val="32"/>
          <w:lang w:val="en-US" w:eastAsia="zh-CN"/>
        </w:rPr>
        <w:t>逐年抵扣原已享受的出国期间独生子女养老保险补助金，抵扣后女性未满54周岁或男性未满59周岁的，继续予以发放；不足抵扣的自动停发。</w:t>
      </w:r>
    </w:p>
    <w:p>
      <w:pPr>
        <w:pStyle w:val="3"/>
        <w:keepNext w:val="0"/>
        <w:keepLines w:val="0"/>
        <w:pageBreakBefore w:val="0"/>
        <w:widowControl/>
        <w:wordWrap/>
        <w:overflowPunct/>
        <w:topLinePunct w:val="0"/>
        <w:bidi w:val="0"/>
        <w:spacing w:line="520" w:lineRule="exact"/>
        <w:ind w:left="0" w:leftChars="0" w:firstLine="660" w:firstLineChars="200"/>
        <w:rPr>
          <w:rFonts w:hint="eastAsia" w:ascii="黑体" w:hAnsi="黑体" w:eastAsia="黑体" w:cs="黑体"/>
          <w:snapToGrid w:val="0"/>
          <w:color w:val="000000"/>
          <w:spacing w:val="10"/>
          <w:kern w:val="0"/>
          <w:sz w:val="31"/>
          <w:szCs w:val="31"/>
          <w:lang w:val="en-US" w:eastAsia="zh-CN"/>
          <w14:textOutline w14:w="5626" w14:cap="flat" w14:cmpd="sng">
            <w14:solidFill>
              <w14:srgbClr w14:val="000000"/>
            </w14:solidFill>
            <w14:prstDash w14:val="solid"/>
            <w14:miter w14:val="0"/>
          </w14:textOutline>
        </w:rPr>
      </w:pPr>
      <w:r>
        <w:rPr>
          <w:rFonts w:hint="eastAsia" w:ascii="黑体" w:hAnsi="黑体" w:eastAsia="黑体" w:cs="黑体"/>
          <w:snapToGrid w:val="0"/>
          <w:color w:val="000000"/>
          <w:spacing w:val="10"/>
          <w:kern w:val="0"/>
          <w:sz w:val="31"/>
          <w:szCs w:val="31"/>
          <w:lang w:val="en-US" w:eastAsia="zh-CN"/>
          <w14:textOutline w14:w="5626" w14:cap="flat" w14:cmpd="sng">
            <w14:solidFill>
              <w14:srgbClr w14:val="000000"/>
            </w14:solidFill>
            <w14:prstDash w14:val="solid"/>
            <w14:miter w14:val="0"/>
          </w14:textOutline>
        </w:rPr>
        <w:t>三、附则。</w:t>
      </w:r>
    </w:p>
    <w:p>
      <w:pPr>
        <w:pStyle w:val="3"/>
        <w:keepNext w:val="0"/>
        <w:keepLines w:val="0"/>
        <w:pageBreakBefore w:val="0"/>
        <w:wordWrap/>
        <w:overflowPunct/>
        <w:topLinePunct w:val="0"/>
        <w:bidi w:val="0"/>
        <w:spacing w:line="520" w:lineRule="exact"/>
        <w:ind w:left="0" w:leftChars="0" w:firstLine="640" w:firstLineChars="200"/>
        <w:jc w:val="both"/>
        <w:rPr>
          <w:rFonts w:hint="default"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本文件自2022年1月1日起施行</w:t>
      </w:r>
      <w:r>
        <w:rPr>
          <w:rFonts w:hint="eastAsia" w:ascii="仿宋_GB2312" w:eastAsia="仿宋_GB2312" w:cs="仿宋_GB2312"/>
          <w:snapToGrid w:val="0"/>
          <w:color w:val="000000"/>
          <w:kern w:val="0"/>
          <w:sz w:val="32"/>
          <w:szCs w:val="32"/>
          <w:lang w:val="en-US" w:eastAsia="zh-CN"/>
        </w:rPr>
        <w:t>；此前相关规定与本文件存在冲突的，按本文件规定执行。</w:t>
      </w:r>
    </w:p>
    <w:p>
      <w:pPr>
        <w:keepNext w:val="0"/>
        <w:keepLines w:val="0"/>
        <w:pageBreakBefore w:val="0"/>
        <w:wordWrap/>
        <w:overflowPunct/>
        <w:topLinePunct w:val="0"/>
        <w:bidi w:val="0"/>
        <w:spacing w:line="520" w:lineRule="exact"/>
        <w:rPr>
          <w:rFonts w:hint="default"/>
          <w:lang w:val="en-US" w:eastAsia="zh-CN"/>
        </w:rPr>
      </w:pPr>
    </w:p>
    <w:p>
      <w:pPr>
        <w:pStyle w:val="3"/>
        <w:rPr>
          <w:rFonts w:hint="default" w:ascii="仿宋_GB2312" w:hAnsi="Arial" w:eastAsia="仿宋_GB2312" w:cs="仿宋_GB2312"/>
          <w:snapToGrid w:val="0"/>
          <w:color w:val="000000"/>
          <w:kern w:val="0"/>
          <w:sz w:val="32"/>
          <w:szCs w:val="32"/>
          <w:lang w:val="en-US" w:eastAsia="zh-CN"/>
        </w:rPr>
      </w:pPr>
    </w:p>
    <w:p>
      <w:pPr>
        <w:wordWrap w:val="0"/>
        <w:jc w:val="right"/>
        <w:rPr>
          <w:rFonts w:hint="eastAsia" w:ascii="仿宋_GB2312" w:hAnsi="Arial" w:eastAsia="仿宋_GB2312" w:cs="仿宋_GB2312"/>
          <w:snapToGrid w:val="0"/>
          <w:color w:val="000000"/>
          <w:kern w:val="0"/>
          <w:sz w:val="32"/>
          <w:szCs w:val="32"/>
          <w:lang w:val="en-US" w:eastAsia="zh-CN"/>
        </w:rPr>
      </w:pPr>
      <w:r>
        <w:rPr>
          <w:rFonts w:hint="eastAsia" w:ascii="仿宋_GB2312" w:hAnsi="Arial" w:eastAsia="仿宋_GB2312" w:cs="仿宋_GB2312"/>
          <w:snapToGrid w:val="0"/>
          <w:color w:val="000000"/>
          <w:kern w:val="0"/>
          <w:sz w:val="32"/>
          <w:szCs w:val="32"/>
          <w:lang w:val="en-US" w:eastAsia="zh-CN"/>
        </w:rPr>
        <w:t>温州市瓯海区卫生健康局</w:t>
      </w:r>
    </w:p>
    <w:p>
      <w:pPr>
        <w:pStyle w:val="3"/>
        <w:wordWrap/>
        <w:jc w:val="right"/>
        <w:rPr>
          <w:rFonts w:ascii="Arial"/>
          <w:sz w:val="21"/>
        </w:rPr>
      </w:pPr>
      <w:r>
        <w:rPr>
          <w:rFonts w:hint="eastAsia" w:ascii="仿宋_GB2312" w:hAnsi="Arial" w:eastAsia="仿宋_GB2312" w:cs="仿宋_GB2312"/>
          <w:snapToGrid w:val="0"/>
          <w:color w:val="000000"/>
          <w:kern w:val="0"/>
          <w:sz w:val="32"/>
          <w:szCs w:val="32"/>
          <w:lang w:val="en-US" w:eastAsia="zh-CN"/>
        </w:rPr>
        <w:t>2022年7月</w:t>
      </w:r>
      <w:r>
        <w:rPr>
          <w:rFonts w:hint="eastAsia" w:ascii="仿宋_GB2312" w:eastAsia="仿宋_GB2312" w:cs="仿宋_GB2312"/>
          <w:snapToGrid w:val="0"/>
          <w:color w:val="000000"/>
          <w:kern w:val="0"/>
          <w:sz w:val="32"/>
          <w:szCs w:val="32"/>
          <w:lang w:val="en-US" w:eastAsia="zh-CN"/>
        </w:rPr>
        <w:t>26</w:t>
      </w:r>
      <w:r>
        <w:rPr>
          <w:rFonts w:hint="eastAsia" w:ascii="仿宋_GB2312" w:hAnsi="Arial" w:eastAsia="仿宋_GB2312" w:cs="仿宋_GB2312"/>
          <w:snapToGrid w:val="0"/>
          <w:color w:val="000000"/>
          <w:kern w:val="0"/>
          <w:sz w:val="32"/>
          <w:szCs w:val="32"/>
          <w:lang w:val="en-US" w:eastAsia="zh-CN"/>
        </w:rPr>
        <w:t>日</w:t>
      </w:r>
    </w:p>
    <w:sectPr>
      <w:pgSz w:w="11910" w:h="16840"/>
      <w:pgMar w:top="1431" w:right="1570" w:bottom="1326" w:left="1749" w:header="0" w:footer="10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05758"/>
    <w:multiLevelType w:val="singleLevel"/>
    <w:tmpl w:val="059057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mUyMjViYjkxN2E1ZjRmZjBjNjI1MjM3MzNjMzg0YjkifQ=="/>
  </w:docVars>
  <w:rsids>
    <w:rsidRoot w:val="00000000"/>
    <w:rsid w:val="02A7212F"/>
    <w:rsid w:val="02C97BEB"/>
    <w:rsid w:val="02F40B0E"/>
    <w:rsid w:val="03954004"/>
    <w:rsid w:val="06DE7009"/>
    <w:rsid w:val="0A5838F4"/>
    <w:rsid w:val="0B10186B"/>
    <w:rsid w:val="0D611BD6"/>
    <w:rsid w:val="0F586B9D"/>
    <w:rsid w:val="11255A6D"/>
    <w:rsid w:val="12614426"/>
    <w:rsid w:val="12FF1C91"/>
    <w:rsid w:val="136E2957"/>
    <w:rsid w:val="147F6B1F"/>
    <w:rsid w:val="1B1B2E9B"/>
    <w:rsid w:val="1D057B00"/>
    <w:rsid w:val="1D6E79F7"/>
    <w:rsid w:val="1E67403A"/>
    <w:rsid w:val="20121328"/>
    <w:rsid w:val="20166850"/>
    <w:rsid w:val="204A7E6C"/>
    <w:rsid w:val="269F0C21"/>
    <w:rsid w:val="28416434"/>
    <w:rsid w:val="2AC54FC2"/>
    <w:rsid w:val="2B004385"/>
    <w:rsid w:val="2D4A53CB"/>
    <w:rsid w:val="30C01855"/>
    <w:rsid w:val="34833825"/>
    <w:rsid w:val="36072A5A"/>
    <w:rsid w:val="37BF7375"/>
    <w:rsid w:val="38041C9B"/>
    <w:rsid w:val="3B600A24"/>
    <w:rsid w:val="3CED7728"/>
    <w:rsid w:val="3D8613D0"/>
    <w:rsid w:val="3FD15E98"/>
    <w:rsid w:val="404E74E8"/>
    <w:rsid w:val="434A043B"/>
    <w:rsid w:val="44B11BB2"/>
    <w:rsid w:val="471F398D"/>
    <w:rsid w:val="49B13E67"/>
    <w:rsid w:val="49D52784"/>
    <w:rsid w:val="49EE49A7"/>
    <w:rsid w:val="4D152ED0"/>
    <w:rsid w:val="4D3D22A8"/>
    <w:rsid w:val="553E2CA3"/>
    <w:rsid w:val="554E1D0A"/>
    <w:rsid w:val="56576C9F"/>
    <w:rsid w:val="574C185C"/>
    <w:rsid w:val="5A494B51"/>
    <w:rsid w:val="5C087F4D"/>
    <w:rsid w:val="5E5D590D"/>
    <w:rsid w:val="5E604FD9"/>
    <w:rsid w:val="5F8E440C"/>
    <w:rsid w:val="62546789"/>
    <w:rsid w:val="63452ACF"/>
    <w:rsid w:val="6421269A"/>
    <w:rsid w:val="68794A51"/>
    <w:rsid w:val="691F2D09"/>
    <w:rsid w:val="695A2358"/>
    <w:rsid w:val="699B6CB6"/>
    <w:rsid w:val="6CBB475D"/>
    <w:rsid w:val="71567A5B"/>
    <w:rsid w:val="725956F5"/>
    <w:rsid w:val="737F5ED5"/>
    <w:rsid w:val="73D74B24"/>
    <w:rsid w:val="75266D4F"/>
    <w:rsid w:val="75C86E1A"/>
    <w:rsid w:val="77F24D39"/>
    <w:rsid w:val="7A4606C0"/>
    <w:rsid w:val="7EE30820"/>
    <w:rsid w:val="7F546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Body Text First Indent"/>
    <w:basedOn w:val="2"/>
    <w:next w:val="1"/>
    <w:qFormat/>
    <w:uiPriority w:val="0"/>
    <w:pPr>
      <w:spacing w:line="500" w:lineRule="exact"/>
      <w:ind w:firstLine="420"/>
    </w:pPr>
    <w:rPr>
      <w:rFonts w:eastAsia="宋体"/>
      <w:szCs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860</Words>
  <Characters>902</Characters>
  <TotalTime>6</TotalTime>
  <ScaleCrop>false</ScaleCrop>
  <LinksUpToDate>false</LinksUpToDate>
  <CharactersWithSpaces>904</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2022-07-11T10:46:00Z</dcterms:created>
  <dc:creator>Kingsoft-PDF</dc:creator>
  <cp:keywords>62cb8ef91d1b040015f6f96f</cp:keywords>
  <cp:lastModifiedBy>滋味</cp:lastModifiedBy>
  <cp:lastPrinted>2022-07-21T01:15:00Z</cp:lastPrinted>
  <dcterms:modified xsi:type="dcterms:W3CDTF">2022-07-27T03:02:33Z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2022-07-11T10:46:33Z</vt:filetime>
  </property>
  <property fmtid="{D5CDD505-2E9C-101B-9397-08002B2CF9AE}" pid="4" name="KSOProductBuildVer">
    <vt:lpwstr>2052-11.1.0.11875</vt:lpwstr>
  </property>
  <property fmtid="{D5CDD505-2E9C-101B-9397-08002B2CF9AE}" pid="5" name="ICV">
    <vt:lpwstr>E806DA363D12454CA28069C76F772854</vt:lpwstr>
  </property>
</Properties>
</file>