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i w:val="0"/>
          <w:color w:val="auto"/>
          <w:kern w:val="0"/>
          <w:sz w:val="32"/>
          <w:szCs w:val="32"/>
          <w:u w:val="none"/>
          <w:lang w:val="en-US" w:eastAsia="zh-CN" w:bidi="ar"/>
        </w:rPr>
      </w:pPr>
      <w:r>
        <w:rPr>
          <w:rFonts w:hint="eastAsia" w:ascii="黑体" w:hAnsi="黑体" w:eastAsia="黑体" w:cs="黑体"/>
          <w:b w:val="0"/>
          <w:bCs/>
          <w:i w:val="0"/>
          <w:color w:val="auto"/>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auto"/>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i w:val="0"/>
          <w:color w:val="auto"/>
          <w:kern w:val="0"/>
          <w:sz w:val="44"/>
          <w:szCs w:val="44"/>
          <w:u w:val="none"/>
          <w:lang w:val="en-US" w:eastAsia="zh-CN" w:bidi="ar"/>
        </w:rPr>
        <w:t>瓯海区镇街行政执法事项目录清单（新桥街道、瞿溪街道除外）</w:t>
      </w:r>
    </w:p>
    <w:bookmarkEnd w:id="0"/>
    <w:p>
      <w:pPr>
        <w:jc w:val="center"/>
        <w:rPr>
          <w:rFonts w:hint="eastAsia" w:ascii="楷体_GB2312" w:hAnsi="楷体_GB2312" w:eastAsia="楷体_GB2312" w:cs="楷体_GB2312"/>
          <w:bCs/>
        </w:rPr>
      </w:pPr>
      <w:r>
        <w:rPr>
          <w:rFonts w:hint="eastAsia" w:ascii="楷体_GB2312" w:hAnsi="楷体_GB2312" w:eastAsia="楷体_GB2312" w:cs="楷体_GB2312"/>
          <w:b w:val="0"/>
          <w:bCs/>
          <w:i w:val="0"/>
          <w:color w:val="auto"/>
          <w:kern w:val="0"/>
          <w:sz w:val="40"/>
          <w:szCs w:val="40"/>
          <w:u w:val="none"/>
          <w:lang w:val="en-US" w:eastAsia="zh-CN" w:bidi="ar"/>
        </w:rPr>
        <w:t>（第一批共17项）</w:t>
      </w:r>
    </w:p>
    <w:tbl>
      <w:tblPr>
        <w:tblStyle w:val="3"/>
        <w:tblW w:w="13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8"/>
        <w:gridCol w:w="1848"/>
        <w:gridCol w:w="7428"/>
        <w:gridCol w:w="2796"/>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tblHeader/>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序号</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事项代码</w:t>
            </w:r>
          </w:p>
        </w:tc>
        <w:tc>
          <w:tcPr>
            <w:tcW w:w="74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事项名称</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是否在省乡镇（街道）综合行政执法事项指导目录</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84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330217248002</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对单位和个人在城市道路、公园绿地和其他公共场所公共设施上晾晒、吊挂衣物的行政处罚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84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330217181000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对擅自占用城市人行道、桥梁、地下通道以及其他公共场所设摊经营、兜售物品的行政处罚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84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330217211000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对沿街和广场周边的经营者擅自超出门、窗进行店外经营、作业或者展示商品的行政处罚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84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330217225000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对从事车辆清洗或者维修、废品收 购、废弃物接纳作业的单位和个人未采取有效措施防止污水外流或者将废弃物向外洒落的行政处罚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330217175000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对未经城市人民政府市容环境卫生行政主管部门同意擅自设置大型户外广告影响市容的行政处罚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330217265000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对户外设施的设置单位未做好日常维护保养等管理工作的行政处罚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330217197003</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对在树木、地面、电杆、建筑物、 构筑物或者其他设施上任意刻画、涂写、张贴的行政处罚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330217283000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对作业单位未及时清理因栽培或者 修剪树木、花草等产生的树枝、树叶等废弃物的行政处罚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330217285000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对作业单位未及时清运、处理清理 窨井淤泥产生的废弃物并随意堆放，未清洗作业场地的行政处罚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330217655000</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对施工单位未及时清运工程施工过程中产生的建筑垃圾造成环境污染的行政处罚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330217231002</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对擅自在桥梁范围内设置广告牌、悬挂物，以及占用桥孔、明火作业的行为的行政处罚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330217231001</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对在城市桥梁范围内占用桥面，在 桥面上停放车辆、机动车试刹车、 设摊的行为的行政处罚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330217213002</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对未在城市道路施工现场设置明显标志和安全防围设施的行为的行政处罚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14</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330217280003</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对擅自在城市照明设施上张贴、悬挂、设置宣传品、广告的行为的行政处罚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330217240001</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对施工工地未设置硬质密闭围挡， 或者未采取有效防尘降尘措施的行政处罚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330209028001</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对在人行道违法停放机动车的行政处罚</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jc w:val="center"/>
        </w:trPr>
        <w:tc>
          <w:tcPr>
            <w:tcW w:w="72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w:t>
            </w:r>
          </w:p>
        </w:tc>
        <w:tc>
          <w:tcPr>
            <w:tcW w:w="1848"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Style w:val="6"/>
                <w:rFonts w:hint="eastAsia" w:ascii="仿宋_GB2312" w:hAnsi="仿宋_GB2312" w:eastAsia="仿宋_GB2312" w:cs="仿宋_GB2312"/>
                <w:sz w:val="24"/>
                <w:szCs w:val="24"/>
                <w:lang w:val="en-US" w:eastAsia="zh-CN" w:bidi="ar"/>
              </w:rPr>
              <w:t>330231076001</w:t>
            </w:r>
          </w:p>
        </w:tc>
        <w:tc>
          <w:tcPr>
            <w:tcW w:w="7428"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对室外公共场所无照经营的处罚（划归综合执法）</w:t>
            </w:r>
          </w:p>
        </w:tc>
        <w:tc>
          <w:tcPr>
            <w:tcW w:w="27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74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2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bl>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lang w:val="en-US"/>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NzcyYThkN2EwMTNkOGZkNjY3MzY2MGFmODQwODgifQ=="/>
  </w:docVars>
  <w:rsids>
    <w:rsidRoot w:val="25FF34AA"/>
    <w:rsid w:val="0098672C"/>
    <w:rsid w:val="011F2279"/>
    <w:rsid w:val="012924DE"/>
    <w:rsid w:val="017F428D"/>
    <w:rsid w:val="01B06BEC"/>
    <w:rsid w:val="01C61FCA"/>
    <w:rsid w:val="021D7A16"/>
    <w:rsid w:val="0226097D"/>
    <w:rsid w:val="024168DD"/>
    <w:rsid w:val="02DE056D"/>
    <w:rsid w:val="03535D54"/>
    <w:rsid w:val="03BC2F9C"/>
    <w:rsid w:val="03C300DC"/>
    <w:rsid w:val="03D21A5D"/>
    <w:rsid w:val="03F202F3"/>
    <w:rsid w:val="04183431"/>
    <w:rsid w:val="04286386"/>
    <w:rsid w:val="043B1C84"/>
    <w:rsid w:val="044915ED"/>
    <w:rsid w:val="04961786"/>
    <w:rsid w:val="04CC4D1A"/>
    <w:rsid w:val="05AA5440"/>
    <w:rsid w:val="05BD0772"/>
    <w:rsid w:val="05D35B13"/>
    <w:rsid w:val="05DC40B7"/>
    <w:rsid w:val="062C0000"/>
    <w:rsid w:val="0690680B"/>
    <w:rsid w:val="069B0131"/>
    <w:rsid w:val="06FA66A3"/>
    <w:rsid w:val="06FB7EC9"/>
    <w:rsid w:val="07020833"/>
    <w:rsid w:val="07541B63"/>
    <w:rsid w:val="078137FC"/>
    <w:rsid w:val="078C1F13"/>
    <w:rsid w:val="07B35E58"/>
    <w:rsid w:val="07E47A17"/>
    <w:rsid w:val="07EB382B"/>
    <w:rsid w:val="07FD205B"/>
    <w:rsid w:val="08020E16"/>
    <w:rsid w:val="08720429"/>
    <w:rsid w:val="08D44E2F"/>
    <w:rsid w:val="091776A0"/>
    <w:rsid w:val="09551654"/>
    <w:rsid w:val="09603058"/>
    <w:rsid w:val="099A6D12"/>
    <w:rsid w:val="09B075FD"/>
    <w:rsid w:val="09CB67FF"/>
    <w:rsid w:val="0A5D7E01"/>
    <w:rsid w:val="0AA41A1F"/>
    <w:rsid w:val="0AAE5216"/>
    <w:rsid w:val="0ADE7EB0"/>
    <w:rsid w:val="0AEE71EF"/>
    <w:rsid w:val="0B112742"/>
    <w:rsid w:val="0B5873F2"/>
    <w:rsid w:val="0B5D198D"/>
    <w:rsid w:val="0B8E3AA5"/>
    <w:rsid w:val="0BA22B3F"/>
    <w:rsid w:val="0BB96BC5"/>
    <w:rsid w:val="0C4C18DC"/>
    <w:rsid w:val="0C8C6FCB"/>
    <w:rsid w:val="0C8E52DE"/>
    <w:rsid w:val="0CB55DF5"/>
    <w:rsid w:val="0CDB30D5"/>
    <w:rsid w:val="0D0647F8"/>
    <w:rsid w:val="0D8B0253"/>
    <w:rsid w:val="0DD764FB"/>
    <w:rsid w:val="0DFD18B7"/>
    <w:rsid w:val="0E3046FD"/>
    <w:rsid w:val="0E3D58C0"/>
    <w:rsid w:val="0E6A60F8"/>
    <w:rsid w:val="0E735565"/>
    <w:rsid w:val="0E93640E"/>
    <w:rsid w:val="0E983A10"/>
    <w:rsid w:val="0EDA508D"/>
    <w:rsid w:val="0F027C81"/>
    <w:rsid w:val="0F6E0B91"/>
    <w:rsid w:val="0FD7642C"/>
    <w:rsid w:val="0FF55654"/>
    <w:rsid w:val="10CF07B0"/>
    <w:rsid w:val="10E925F6"/>
    <w:rsid w:val="110617B9"/>
    <w:rsid w:val="112C08E0"/>
    <w:rsid w:val="1142303E"/>
    <w:rsid w:val="11536195"/>
    <w:rsid w:val="1181237A"/>
    <w:rsid w:val="11A905BA"/>
    <w:rsid w:val="11A971BE"/>
    <w:rsid w:val="11B4188A"/>
    <w:rsid w:val="11E10165"/>
    <w:rsid w:val="12163621"/>
    <w:rsid w:val="122C3E23"/>
    <w:rsid w:val="12603780"/>
    <w:rsid w:val="12723FD4"/>
    <w:rsid w:val="1285502F"/>
    <w:rsid w:val="128F38AF"/>
    <w:rsid w:val="12F47E82"/>
    <w:rsid w:val="132429B7"/>
    <w:rsid w:val="13607EC7"/>
    <w:rsid w:val="142D235F"/>
    <w:rsid w:val="143C7961"/>
    <w:rsid w:val="14A04BC1"/>
    <w:rsid w:val="14AF027A"/>
    <w:rsid w:val="14B13748"/>
    <w:rsid w:val="15335670"/>
    <w:rsid w:val="158765D0"/>
    <w:rsid w:val="15A32B1E"/>
    <w:rsid w:val="15D97871"/>
    <w:rsid w:val="15DF5D70"/>
    <w:rsid w:val="15E734FB"/>
    <w:rsid w:val="1608552F"/>
    <w:rsid w:val="1630158A"/>
    <w:rsid w:val="16942491"/>
    <w:rsid w:val="16A67EB4"/>
    <w:rsid w:val="16AB7465"/>
    <w:rsid w:val="17272F51"/>
    <w:rsid w:val="174C53D2"/>
    <w:rsid w:val="175C7434"/>
    <w:rsid w:val="17A60A57"/>
    <w:rsid w:val="185F0CBF"/>
    <w:rsid w:val="188F0791"/>
    <w:rsid w:val="188F0DCD"/>
    <w:rsid w:val="18A14FA2"/>
    <w:rsid w:val="18A8695D"/>
    <w:rsid w:val="18AC3DCF"/>
    <w:rsid w:val="18BA20D1"/>
    <w:rsid w:val="18FA777E"/>
    <w:rsid w:val="192755E6"/>
    <w:rsid w:val="19783B04"/>
    <w:rsid w:val="19B0653B"/>
    <w:rsid w:val="19DE2CA4"/>
    <w:rsid w:val="1A1730C9"/>
    <w:rsid w:val="1A1A54FD"/>
    <w:rsid w:val="1A5273B8"/>
    <w:rsid w:val="1AA10FA1"/>
    <w:rsid w:val="1AC76AE0"/>
    <w:rsid w:val="1AD670CF"/>
    <w:rsid w:val="1AF74D15"/>
    <w:rsid w:val="1B085AF6"/>
    <w:rsid w:val="1BD07294"/>
    <w:rsid w:val="1BFD48DD"/>
    <w:rsid w:val="1C1B2385"/>
    <w:rsid w:val="1C2E5CC0"/>
    <w:rsid w:val="1C507199"/>
    <w:rsid w:val="1C9308B1"/>
    <w:rsid w:val="1C9A352F"/>
    <w:rsid w:val="1CBE7FC5"/>
    <w:rsid w:val="1D23316D"/>
    <w:rsid w:val="1DA14D44"/>
    <w:rsid w:val="1E4F5268"/>
    <w:rsid w:val="1E6178EA"/>
    <w:rsid w:val="1E7364DD"/>
    <w:rsid w:val="1F226B67"/>
    <w:rsid w:val="1FCC4BB3"/>
    <w:rsid w:val="20085657"/>
    <w:rsid w:val="20284890"/>
    <w:rsid w:val="202F751D"/>
    <w:rsid w:val="20841E3B"/>
    <w:rsid w:val="20B533AC"/>
    <w:rsid w:val="20C75447"/>
    <w:rsid w:val="20D765D2"/>
    <w:rsid w:val="21643F73"/>
    <w:rsid w:val="217E5E03"/>
    <w:rsid w:val="21A910FA"/>
    <w:rsid w:val="21F5072C"/>
    <w:rsid w:val="220511A3"/>
    <w:rsid w:val="22153E0E"/>
    <w:rsid w:val="22293060"/>
    <w:rsid w:val="226E76F8"/>
    <w:rsid w:val="229F4254"/>
    <w:rsid w:val="2305365A"/>
    <w:rsid w:val="234D22AF"/>
    <w:rsid w:val="23901FD2"/>
    <w:rsid w:val="23B03902"/>
    <w:rsid w:val="241C45C1"/>
    <w:rsid w:val="243813BB"/>
    <w:rsid w:val="25162129"/>
    <w:rsid w:val="256525EE"/>
    <w:rsid w:val="25D931DC"/>
    <w:rsid w:val="25FC6C49"/>
    <w:rsid w:val="25FF34AA"/>
    <w:rsid w:val="26135C80"/>
    <w:rsid w:val="26340484"/>
    <w:rsid w:val="269F2C99"/>
    <w:rsid w:val="26A932A9"/>
    <w:rsid w:val="26B93610"/>
    <w:rsid w:val="26CA53AB"/>
    <w:rsid w:val="26FB59FD"/>
    <w:rsid w:val="280C57E6"/>
    <w:rsid w:val="28140212"/>
    <w:rsid w:val="286907D0"/>
    <w:rsid w:val="28A23000"/>
    <w:rsid w:val="28ED6444"/>
    <w:rsid w:val="28F765D1"/>
    <w:rsid w:val="295801DC"/>
    <w:rsid w:val="29E97EB0"/>
    <w:rsid w:val="2A20594D"/>
    <w:rsid w:val="2A5C0F67"/>
    <w:rsid w:val="2A7254A4"/>
    <w:rsid w:val="2B27161B"/>
    <w:rsid w:val="2B2F1E03"/>
    <w:rsid w:val="2B400A26"/>
    <w:rsid w:val="2B606241"/>
    <w:rsid w:val="2B825170"/>
    <w:rsid w:val="2BA205C0"/>
    <w:rsid w:val="2BB61DE6"/>
    <w:rsid w:val="2BFB63B8"/>
    <w:rsid w:val="2C02261D"/>
    <w:rsid w:val="2C441A0C"/>
    <w:rsid w:val="2C5E4385"/>
    <w:rsid w:val="2CBD1245"/>
    <w:rsid w:val="2CD627F6"/>
    <w:rsid w:val="2DAD1689"/>
    <w:rsid w:val="2DBB052C"/>
    <w:rsid w:val="2DF76A58"/>
    <w:rsid w:val="2E2424DF"/>
    <w:rsid w:val="2E3238EA"/>
    <w:rsid w:val="2E3D1D7E"/>
    <w:rsid w:val="2ED856C7"/>
    <w:rsid w:val="2F137F9C"/>
    <w:rsid w:val="2F3A3501"/>
    <w:rsid w:val="2F486D92"/>
    <w:rsid w:val="2F6A18FF"/>
    <w:rsid w:val="301C62FD"/>
    <w:rsid w:val="301E08F5"/>
    <w:rsid w:val="3026203D"/>
    <w:rsid w:val="307A5CDB"/>
    <w:rsid w:val="309D794C"/>
    <w:rsid w:val="30C114CD"/>
    <w:rsid w:val="30F55BC8"/>
    <w:rsid w:val="311659E8"/>
    <w:rsid w:val="31264CEC"/>
    <w:rsid w:val="3151775C"/>
    <w:rsid w:val="31CA0809"/>
    <w:rsid w:val="321F456D"/>
    <w:rsid w:val="32340DE3"/>
    <w:rsid w:val="32413446"/>
    <w:rsid w:val="324F0681"/>
    <w:rsid w:val="33E0499D"/>
    <w:rsid w:val="34110893"/>
    <w:rsid w:val="343D1AD8"/>
    <w:rsid w:val="34494CD8"/>
    <w:rsid w:val="346200A0"/>
    <w:rsid w:val="347060CB"/>
    <w:rsid w:val="34E141D7"/>
    <w:rsid w:val="35A07192"/>
    <w:rsid w:val="365B269D"/>
    <w:rsid w:val="366432D3"/>
    <w:rsid w:val="369A7899"/>
    <w:rsid w:val="36D46E14"/>
    <w:rsid w:val="37406E13"/>
    <w:rsid w:val="376526FA"/>
    <w:rsid w:val="37A33321"/>
    <w:rsid w:val="383E5178"/>
    <w:rsid w:val="38596501"/>
    <w:rsid w:val="391408C1"/>
    <w:rsid w:val="39314D78"/>
    <w:rsid w:val="39413FB8"/>
    <w:rsid w:val="39433FE3"/>
    <w:rsid w:val="398D69ED"/>
    <w:rsid w:val="39A6518A"/>
    <w:rsid w:val="39FE5A8F"/>
    <w:rsid w:val="3A47691E"/>
    <w:rsid w:val="3A7E26B3"/>
    <w:rsid w:val="3AA72478"/>
    <w:rsid w:val="3AE67217"/>
    <w:rsid w:val="3B1932F0"/>
    <w:rsid w:val="3B7527E6"/>
    <w:rsid w:val="3B81536A"/>
    <w:rsid w:val="3B856373"/>
    <w:rsid w:val="3B880E9B"/>
    <w:rsid w:val="3C49093A"/>
    <w:rsid w:val="3C4A6676"/>
    <w:rsid w:val="3C6020F8"/>
    <w:rsid w:val="3CA4690B"/>
    <w:rsid w:val="3CDC753B"/>
    <w:rsid w:val="3D1E705E"/>
    <w:rsid w:val="3D41407B"/>
    <w:rsid w:val="3DD406BF"/>
    <w:rsid w:val="3E286D84"/>
    <w:rsid w:val="3E62124A"/>
    <w:rsid w:val="3E65597A"/>
    <w:rsid w:val="3E8A0DF5"/>
    <w:rsid w:val="3E8C0F10"/>
    <w:rsid w:val="3E8C5CEB"/>
    <w:rsid w:val="3E962C9D"/>
    <w:rsid w:val="3ED17314"/>
    <w:rsid w:val="3ED262DC"/>
    <w:rsid w:val="3EE44619"/>
    <w:rsid w:val="3F175905"/>
    <w:rsid w:val="3F747318"/>
    <w:rsid w:val="3FA16C23"/>
    <w:rsid w:val="3FB32619"/>
    <w:rsid w:val="3FD35A48"/>
    <w:rsid w:val="40071410"/>
    <w:rsid w:val="400D40B8"/>
    <w:rsid w:val="40295B0C"/>
    <w:rsid w:val="40610F4B"/>
    <w:rsid w:val="407C7B43"/>
    <w:rsid w:val="408C7370"/>
    <w:rsid w:val="409F5CD6"/>
    <w:rsid w:val="41144896"/>
    <w:rsid w:val="41254114"/>
    <w:rsid w:val="41286228"/>
    <w:rsid w:val="416800C9"/>
    <w:rsid w:val="418762AC"/>
    <w:rsid w:val="4192069B"/>
    <w:rsid w:val="41DE6041"/>
    <w:rsid w:val="42B0354E"/>
    <w:rsid w:val="42CC2453"/>
    <w:rsid w:val="42D40F98"/>
    <w:rsid w:val="42FC0C50"/>
    <w:rsid w:val="433669F0"/>
    <w:rsid w:val="43B30250"/>
    <w:rsid w:val="43D332DA"/>
    <w:rsid w:val="43DF0A5F"/>
    <w:rsid w:val="43E754A1"/>
    <w:rsid w:val="43F47AC1"/>
    <w:rsid w:val="44024131"/>
    <w:rsid w:val="44697B0F"/>
    <w:rsid w:val="44A45F8A"/>
    <w:rsid w:val="456A1A0D"/>
    <w:rsid w:val="45A21E03"/>
    <w:rsid w:val="45CE71CD"/>
    <w:rsid w:val="45F47BD7"/>
    <w:rsid w:val="460B2C7B"/>
    <w:rsid w:val="46187E6C"/>
    <w:rsid w:val="469A6336"/>
    <w:rsid w:val="470D04AE"/>
    <w:rsid w:val="471D7A57"/>
    <w:rsid w:val="472929B9"/>
    <w:rsid w:val="47AD0737"/>
    <w:rsid w:val="47D4015D"/>
    <w:rsid w:val="47F17BD5"/>
    <w:rsid w:val="48182E55"/>
    <w:rsid w:val="48906D07"/>
    <w:rsid w:val="48CE7478"/>
    <w:rsid w:val="48D5775D"/>
    <w:rsid w:val="49164DE2"/>
    <w:rsid w:val="494369A5"/>
    <w:rsid w:val="49990FF6"/>
    <w:rsid w:val="49FB11EF"/>
    <w:rsid w:val="49FB43EB"/>
    <w:rsid w:val="4A047146"/>
    <w:rsid w:val="4A0A2586"/>
    <w:rsid w:val="4A7C0EA4"/>
    <w:rsid w:val="4A824203"/>
    <w:rsid w:val="4AA77A2C"/>
    <w:rsid w:val="4B8F6BED"/>
    <w:rsid w:val="4BB8626B"/>
    <w:rsid w:val="4BCD6713"/>
    <w:rsid w:val="4BFB792D"/>
    <w:rsid w:val="4CF2549E"/>
    <w:rsid w:val="4D065E8D"/>
    <w:rsid w:val="4D1C5F9F"/>
    <w:rsid w:val="4D3E2E0D"/>
    <w:rsid w:val="4D4608A0"/>
    <w:rsid w:val="4D562C9D"/>
    <w:rsid w:val="4D6A0DD6"/>
    <w:rsid w:val="4D7C1D8D"/>
    <w:rsid w:val="4D881DB3"/>
    <w:rsid w:val="4D9F2527"/>
    <w:rsid w:val="4E436FFB"/>
    <w:rsid w:val="4E4A3BD5"/>
    <w:rsid w:val="4EAB09E7"/>
    <w:rsid w:val="4EAE53DC"/>
    <w:rsid w:val="4F54741C"/>
    <w:rsid w:val="4F737AD1"/>
    <w:rsid w:val="4FBE77EE"/>
    <w:rsid w:val="4FD14CEF"/>
    <w:rsid w:val="4FE14895"/>
    <w:rsid w:val="5064138A"/>
    <w:rsid w:val="50966268"/>
    <w:rsid w:val="50CD0239"/>
    <w:rsid w:val="50E05CA6"/>
    <w:rsid w:val="511C562B"/>
    <w:rsid w:val="517D3B9A"/>
    <w:rsid w:val="51853161"/>
    <w:rsid w:val="519D0B01"/>
    <w:rsid w:val="51B261DE"/>
    <w:rsid w:val="52374667"/>
    <w:rsid w:val="52916A94"/>
    <w:rsid w:val="529F7EC8"/>
    <w:rsid w:val="52AA3B5F"/>
    <w:rsid w:val="52C42950"/>
    <w:rsid w:val="53355503"/>
    <w:rsid w:val="53710969"/>
    <w:rsid w:val="537C46AF"/>
    <w:rsid w:val="537E6F73"/>
    <w:rsid w:val="541546DB"/>
    <w:rsid w:val="544A26FB"/>
    <w:rsid w:val="544D0AA1"/>
    <w:rsid w:val="54BA556F"/>
    <w:rsid w:val="55802376"/>
    <w:rsid w:val="55BB176D"/>
    <w:rsid w:val="567A5DDF"/>
    <w:rsid w:val="56A8254C"/>
    <w:rsid w:val="56D85232"/>
    <w:rsid w:val="574C4F6A"/>
    <w:rsid w:val="57624968"/>
    <w:rsid w:val="57900E8E"/>
    <w:rsid w:val="57946755"/>
    <w:rsid w:val="57EF1D9E"/>
    <w:rsid w:val="583A281B"/>
    <w:rsid w:val="58754346"/>
    <w:rsid w:val="58BF31BA"/>
    <w:rsid w:val="58D744D9"/>
    <w:rsid w:val="594F3630"/>
    <w:rsid w:val="596E108D"/>
    <w:rsid w:val="597954A6"/>
    <w:rsid w:val="59AC2FF7"/>
    <w:rsid w:val="59B86B0B"/>
    <w:rsid w:val="59C27544"/>
    <w:rsid w:val="5A142E5D"/>
    <w:rsid w:val="5A50437C"/>
    <w:rsid w:val="5A86081C"/>
    <w:rsid w:val="5A9E07D7"/>
    <w:rsid w:val="5AB52D9C"/>
    <w:rsid w:val="5B4D02EA"/>
    <w:rsid w:val="5B873CF6"/>
    <w:rsid w:val="5BE17299"/>
    <w:rsid w:val="5C6A734F"/>
    <w:rsid w:val="5CBF1EF9"/>
    <w:rsid w:val="5CBF731E"/>
    <w:rsid w:val="5CEC31FD"/>
    <w:rsid w:val="5E20089E"/>
    <w:rsid w:val="5E2D7049"/>
    <w:rsid w:val="5E581E41"/>
    <w:rsid w:val="5E707017"/>
    <w:rsid w:val="5EB64639"/>
    <w:rsid w:val="5EDC4775"/>
    <w:rsid w:val="5EF05018"/>
    <w:rsid w:val="5F50421B"/>
    <w:rsid w:val="5F5C3431"/>
    <w:rsid w:val="5F92682A"/>
    <w:rsid w:val="5FA50749"/>
    <w:rsid w:val="5FAF2716"/>
    <w:rsid w:val="5FE25375"/>
    <w:rsid w:val="600D5B15"/>
    <w:rsid w:val="608B39C9"/>
    <w:rsid w:val="60902C1A"/>
    <w:rsid w:val="60A0161C"/>
    <w:rsid w:val="60A7399B"/>
    <w:rsid w:val="60E808A2"/>
    <w:rsid w:val="61471A84"/>
    <w:rsid w:val="614D7C7A"/>
    <w:rsid w:val="617D48F4"/>
    <w:rsid w:val="61834C68"/>
    <w:rsid w:val="61DE0FC0"/>
    <w:rsid w:val="6275416C"/>
    <w:rsid w:val="62C1787B"/>
    <w:rsid w:val="62D44198"/>
    <w:rsid w:val="62EF3427"/>
    <w:rsid w:val="62F545DE"/>
    <w:rsid w:val="631C43AD"/>
    <w:rsid w:val="633B104D"/>
    <w:rsid w:val="63635DB4"/>
    <w:rsid w:val="642F5779"/>
    <w:rsid w:val="646D5A4B"/>
    <w:rsid w:val="64917B48"/>
    <w:rsid w:val="64C70FC7"/>
    <w:rsid w:val="64EF3D59"/>
    <w:rsid w:val="64F15C97"/>
    <w:rsid w:val="64F573E1"/>
    <w:rsid w:val="64FF4459"/>
    <w:rsid w:val="652441C7"/>
    <w:rsid w:val="6562440F"/>
    <w:rsid w:val="65972E3D"/>
    <w:rsid w:val="659F5E9E"/>
    <w:rsid w:val="65A11F35"/>
    <w:rsid w:val="65BC6E70"/>
    <w:rsid w:val="65BF6D93"/>
    <w:rsid w:val="66387F87"/>
    <w:rsid w:val="66723E0D"/>
    <w:rsid w:val="66CD1578"/>
    <w:rsid w:val="670C75BD"/>
    <w:rsid w:val="67254D00"/>
    <w:rsid w:val="6753380F"/>
    <w:rsid w:val="67581846"/>
    <w:rsid w:val="68104224"/>
    <w:rsid w:val="6863502B"/>
    <w:rsid w:val="68AF76E2"/>
    <w:rsid w:val="68EE6368"/>
    <w:rsid w:val="692A760A"/>
    <w:rsid w:val="69591640"/>
    <w:rsid w:val="698606D1"/>
    <w:rsid w:val="698A3540"/>
    <w:rsid w:val="6A0D147D"/>
    <w:rsid w:val="6A10013B"/>
    <w:rsid w:val="6A1572AD"/>
    <w:rsid w:val="6A1F5AB6"/>
    <w:rsid w:val="6A44688F"/>
    <w:rsid w:val="6A966E4C"/>
    <w:rsid w:val="6B0F53B3"/>
    <w:rsid w:val="6B697452"/>
    <w:rsid w:val="6B9C10E1"/>
    <w:rsid w:val="6BD111EB"/>
    <w:rsid w:val="6BD3382C"/>
    <w:rsid w:val="6BEA774B"/>
    <w:rsid w:val="6C8950A2"/>
    <w:rsid w:val="6D3C121D"/>
    <w:rsid w:val="6D4A583D"/>
    <w:rsid w:val="6D6D3114"/>
    <w:rsid w:val="6E0D210E"/>
    <w:rsid w:val="6E256DBB"/>
    <w:rsid w:val="6E465A88"/>
    <w:rsid w:val="6E894676"/>
    <w:rsid w:val="6E9B6E12"/>
    <w:rsid w:val="6F1857A8"/>
    <w:rsid w:val="6F4A2640"/>
    <w:rsid w:val="6FFB1B99"/>
    <w:rsid w:val="70136A86"/>
    <w:rsid w:val="702979E7"/>
    <w:rsid w:val="70551FE7"/>
    <w:rsid w:val="7062775E"/>
    <w:rsid w:val="70F03535"/>
    <w:rsid w:val="710E0F33"/>
    <w:rsid w:val="712A6B65"/>
    <w:rsid w:val="713F15F4"/>
    <w:rsid w:val="715B188C"/>
    <w:rsid w:val="71D336B7"/>
    <w:rsid w:val="723A5E3E"/>
    <w:rsid w:val="727E3629"/>
    <w:rsid w:val="72872E02"/>
    <w:rsid w:val="72A739A8"/>
    <w:rsid w:val="72B45A42"/>
    <w:rsid w:val="72B95384"/>
    <w:rsid w:val="72F05BD5"/>
    <w:rsid w:val="72F950C8"/>
    <w:rsid w:val="73187DFE"/>
    <w:rsid w:val="7320388F"/>
    <w:rsid w:val="735D226C"/>
    <w:rsid w:val="739F5CB3"/>
    <w:rsid w:val="73B34C42"/>
    <w:rsid w:val="7434565B"/>
    <w:rsid w:val="749723B0"/>
    <w:rsid w:val="75462305"/>
    <w:rsid w:val="754827E0"/>
    <w:rsid w:val="757C3E6E"/>
    <w:rsid w:val="75B87984"/>
    <w:rsid w:val="75C457E9"/>
    <w:rsid w:val="75E0389D"/>
    <w:rsid w:val="75F70628"/>
    <w:rsid w:val="76052153"/>
    <w:rsid w:val="762939C9"/>
    <w:rsid w:val="76777B95"/>
    <w:rsid w:val="767B1291"/>
    <w:rsid w:val="76B822EB"/>
    <w:rsid w:val="76BB672C"/>
    <w:rsid w:val="76D23737"/>
    <w:rsid w:val="76D55D54"/>
    <w:rsid w:val="76F26C31"/>
    <w:rsid w:val="77571418"/>
    <w:rsid w:val="77664DCA"/>
    <w:rsid w:val="77793FD6"/>
    <w:rsid w:val="77E3264C"/>
    <w:rsid w:val="7866463B"/>
    <w:rsid w:val="789B18A3"/>
    <w:rsid w:val="78B9088A"/>
    <w:rsid w:val="78BF4F58"/>
    <w:rsid w:val="78C674D3"/>
    <w:rsid w:val="78DF418C"/>
    <w:rsid w:val="79207A77"/>
    <w:rsid w:val="7934431C"/>
    <w:rsid w:val="79824CC0"/>
    <w:rsid w:val="7A0A78B4"/>
    <w:rsid w:val="7A143AB7"/>
    <w:rsid w:val="7AF05FAE"/>
    <w:rsid w:val="7B052C7B"/>
    <w:rsid w:val="7B4A39DD"/>
    <w:rsid w:val="7BCD0A03"/>
    <w:rsid w:val="7C263AF6"/>
    <w:rsid w:val="7C3563A2"/>
    <w:rsid w:val="7C565C46"/>
    <w:rsid w:val="7C6C1310"/>
    <w:rsid w:val="7CBA290E"/>
    <w:rsid w:val="7D192963"/>
    <w:rsid w:val="7D696757"/>
    <w:rsid w:val="7D703A59"/>
    <w:rsid w:val="7D72626D"/>
    <w:rsid w:val="7D956749"/>
    <w:rsid w:val="7E0118EE"/>
    <w:rsid w:val="7E3D374B"/>
    <w:rsid w:val="7E7B2627"/>
    <w:rsid w:val="7E943213"/>
    <w:rsid w:val="7F1D718F"/>
    <w:rsid w:val="7F454955"/>
    <w:rsid w:val="7F8D5265"/>
    <w:rsid w:val="7FD42A79"/>
    <w:rsid w:val="7FD5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font51"/>
    <w:basedOn w:val="4"/>
    <w:qFormat/>
    <w:uiPriority w:val="0"/>
    <w:rPr>
      <w:rFonts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745</Words>
  <Characters>941</Characters>
  <Lines>0</Lines>
  <Paragraphs>0</Paragraphs>
  <TotalTime>0</TotalTime>
  <ScaleCrop>false</ScaleCrop>
  <LinksUpToDate>false</LinksUpToDate>
  <CharactersWithSpaces>965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2022-06-27T03:46:00Z</dcterms:created>
  <dc:creator>潘海晓</dc:creator>
  <cp:lastModifiedBy>潘海晓</cp:lastModifiedBy>
  <dcterms:modified xsi:type="dcterms:W3CDTF">2022-06-27T03:46:54Z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AB20A8FD6E2B42B5870B0C93D044C040</vt:lpwstr>
  </property>
</Properties>
</file>