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551"/>
          <w:tab w:val="left" w:pos="10444"/>
        </w:tabs>
        <w:spacing w:line="520" w:lineRule="exact"/>
        <w:jc w:val="left"/>
        <w:rPr>
          <w:rFonts w:ascii="Times New Roman" w:hAnsi="Times New Roman" w:eastAsia="仿宋_GB2312"/>
          <w:sz w:val="32"/>
          <w:szCs w:val="32"/>
        </w:rPr>
      </w:pPr>
      <w:bookmarkStart w:id="0" w:name="_GoBack"/>
      <w:bookmarkEnd w:id="0"/>
      <w:r>
        <w:rPr>
          <w:rFonts w:hint="eastAsia" w:ascii="Times New Roman" w:hAnsi="Times New Roman" w:eastAsia="仿宋_GB2312"/>
          <w:sz w:val="32"/>
          <w:szCs w:val="32"/>
        </w:rPr>
        <w:t>附件</w:t>
      </w:r>
      <w:r>
        <w:rPr>
          <w:rFonts w:ascii="Times New Roman" w:hAnsi="Times New Roman" w:eastAsia="仿宋_GB2312"/>
          <w:sz w:val="32"/>
          <w:szCs w:val="32"/>
        </w:rPr>
        <w:t>2</w:t>
      </w:r>
    </w:p>
    <w:p>
      <w:pPr>
        <w:tabs>
          <w:tab w:val="center" w:pos="6551"/>
          <w:tab w:val="left" w:pos="10444"/>
        </w:tabs>
        <w:spacing w:line="520" w:lineRule="exact"/>
        <w:jc w:val="center"/>
        <w:rPr>
          <w:rFonts w:ascii="Times New Roman" w:hAnsi="Times New Roman" w:eastAsia="方正小标宋简体"/>
          <w:b/>
          <w:bCs/>
          <w:sz w:val="32"/>
          <w:szCs w:val="32"/>
        </w:rPr>
      </w:pPr>
      <w:r>
        <w:rPr>
          <w:rFonts w:hint="eastAsia" w:ascii="Times New Roman" w:hAnsi="Times New Roman" w:eastAsia="方正小标宋简体"/>
          <w:b/>
          <w:bCs/>
          <w:sz w:val="32"/>
          <w:szCs w:val="32"/>
        </w:rPr>
        <w:t>瓯海区中小学校和幼儿园发展性评价发展性项目</w:t>
      </w:r>
    </w:p>
    <w:p>
      <w:pPr>
        <w:spacing w:line="420" w:lineRule="exact"/>
        <w:jc w:val="left"/>
        <w:rPr>
          <w:rFonts w:ascii="Times New Roman" w:hAnsi="Times New Roman" w:eastAsia="仿宋"/>
          <w:color w:val="000000"/>
          <w:kern w:val="0"/>
          <w:sz w:val="28"/>
          <w:szCs w:val="28"/>
        </w:rPr>
      </w:pPr>
    </w:p>
    <w:p>
      <w:pPr>
        <w:spacing w:line="420" w:lineRule="exact"/>
        <w:jc w:val="left"/>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rPr>
        <w:t>（本表所列的发展要素是为中小学校、幼儿园内涵发展提供的“菜单”，由学校在充分理解发展项目和发展要素基础上，根据自身实际从中选取或自主制定</w:t>
      </w:r>
      <w:r>
        <w:rPr>
          <w:rFonts w:ascii="Times New Roman" w:hAnsi="Times New Roman" w:eastAsia="仿宋"/>
          <w:color w:val="000000"/>
          <w:kern w:val="0"/>
          <w:sz w:val="28"/>
          <w:szCs w:val="28"/>
        </w:rPr>
        <w:t>4-6</w:t>
      </w:r>
      <w:r>
        <w:rPr>
          <w:rFonts w:hint="eastAsia" w:ascii="Times New Roman" w:hAnsi="Times New Roman" w:eastAsia="仿宋"/>
          <w:color w:val="000000"/>
          <w:kern w:val="0"/>
          <w:sz w:val="28"/>
          <w:szCs w:val="28"/>
        </w:rPr>
        <w:t>个发展项目。每一发展项目均有若干发展要素，学校可重点落实其中一个或若干个要素发展。</w:t>
      </w:r>
      <w:r>
        <w:rPr>
          <w:rFonts w:hint="eastAsia" w:ascii="Times New Roman" w:hAnsi="Times New Roman" w:eastAsia="仿宋"/>
          <w:color w:val="000000"/>
          <w:sz w:val="28"/>
          <w:szCs w:val="28"/>
        </w:rPr>
        <w:t>每一个发展项目一般设置</w:t>
      </w:r>
      <w:r>
        <w:rPr>
          <w:rFonts w:ascii="Times New Roman" w:hAnsi="Times New Roman" w:eastAsia="仿宋"/>
          <w:color w:val="000000"/>
          <w:sz w:val="28"/>
          <w:szCs w:val="28"/>
        </w:rPr>
        <w:t>3</w:t>
      </w:r>
      <w:r>
        <w:rPr>
          <w:rFonts w:hint="eastAsia" w:ascii="Times New Roman" w:hAnsi="Times New Roman" w:eastAsia="仿宋"/>
          <w:color w:val="000000"/>
          <w:sz w:val="28"/>
          <w:szCs w:val="28"/>
        </w:rPr>
        <w:t>个及以上发展要素、发展目标和相应评价指标。</w:t>
      </w:r>
      <w:r>
        <w:rPr>
          <w:rFonts w:hint="eastAsia" w:ascii="Times New Roman" w:hAnsi="Times New Roman" w:eastAsia="仿宋"/>
          <w:color w:val="000000"/>
          <w:kern w:val="0"/>
          <w:sz w:val="28"/>
          <w:szCs w:val="28"/>
        </w:rPr>
        <w:t>）</w:t>
      </w:r>
    </w:p>
    <w:tbl>
      <w:tblPr>
        <w:tblStyle w:val="5"/>
        <w:tblW w:w="14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7066"/>
        <w:gridCol w:w="2100"/>
        <w:gridCol w:w="1800"/>
        <w:gridCol w:w="103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blHeader/>
        </w:trPr>
        <w:tc>
          <w:tcPr>
            <w:tcW w:w="8515" w:type="dxa"/>
            <w:gridSpan w:val="2"/>
            <w:vMerge w:val="restart"/>
            <w:vAlign w:val="center"/>
          </w:tcPr>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发展项目及发展要素</w:t>
            </w:r>
            <w:r>
              <w:rPr>
                <w:rFonts w:ascii="Times New Roman" w:hAnsi="Times New Roman" w:eastAsia="仿宋"/>
                <w:b/>
                <w:bCs/>
                <w:color w:val="000000"/>
                <w:kern w:val="0"/>
                <w:sz w:val="28"/>
                <w:szCs w:val="28"/>
              </w:rPr>
              <w:t>(</w:t>
            </w:r>
            <w:r>
              <w:rPr>
                <w:rFonts w:hint="eastAsia" w:ascii="Times New Roman" w:hAnsi="Times New Roman" w:eastAsia="仿宋"/>
                <w:b/>
                <w:bCs/>
                <w:color w:val="000000"/>
                <w:kern w:val="0"/>
                <w:sz w:val="28"/>
                <w:szCs w:val="28"/>
              </w:rPr>
              <w:t>自选或自设）</w:t>
            </w:r>
          </w:p>
        </w:tc>
        <w:tc>
          <w:tcPr>
            <w:tcW w:w="6135" w:type="dxa"/>
            <w:gridSpan w:val="4"/>
            <w:vAlign w:val="center"/>
          </w:tcPr>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发展目标及评价指标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blHeader/>
        </w:trPr>
        <w:tc>
          <w:tcPr>
            <w:tcW w:w="8515" w:type="dxa"/>
            <w:gridSpan w:val="2"/>
            <w:vMerge w:val="continue"/>
            <w:vAlign w:val="center"/>
          </w:tcPr>
          <w:p>
            <w:pPr>
              <w:widowControl/>
              <w:spacing w:line="360" w:lineRule="exact"/>
              <w:jc w:val="center"/>
            </w:pPr>
          </w:p>
        </w:tc>
        <w:tc>
          <w:tcPr>
            <w:tcW w:w="2100" w:type="dxa"/>
            <w:vAlign w:val="center"/>
          </w:tcPr>
          <w:p>
            <w:pPr>
              <w:widowControl/>
              <w:spacing w:line="360" w:lineRule="exact"/>
              <w:jc w:val="center"/>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ab/>
            </w:r>
            <w:r>
              <w:rPr>
                <w:rFonts w:hint="eastAsia" w:ascii="Times New Roman" w:hAnsi="Times New Roman" w:eastAsia="仿宋"/>
                <w:b/>
                <w:bCs/>
                <w:color w:val="000000"/>
                <w:kern w:val="0"/>
                <w:sz w:val="28"/>
                <w:szCs w:val="28"/>
              </w:rPr>
              <w:t>学年度目标</w:t>
            </w:r>
            <w:r>
              <w:rPr>
                <w:rFonts w:ascii="Times New Roman" w:hAnsi="Times New Roman" w:eastAsia="仿宋"/>
                <w:b/>
                <w:bCs/>
                <w:color w:val="000000"/>
                <w:kern w:val="0"/>
                <w:sz w:val="28"/>
                <w:szCs w:val="28"/>
              </w:rPr>
              <w:t>(</w:t>
            </w:r>
            <w:r>
              <w:rPr>
                <w:rFonts w:hint="eastAsia" w:ascii="Times New Roman" w:hAnsi="Times New Roman" w:eastAsia="仿宋"/>
                <w:b/>
                <w:bCs/>
                <w:color w:val="000000"/>
                <w:kern w:val="0"/>
                <w:sz w:val="28"/>
                <w:szCs w:val="28"/>
              </w:rPr>
              <w:t>自设</w:t>
            </w:r>
            <w:r>
              <w:rPr>
                <w:rFonts w:ascii="Times New Roman" w:hAnsi="Times New Roman" w:eastAsia="仿宋"/>
                <w:b/>
                <w:bCs/>
                <w:color w:val="000000"/>
                <w:kern w:val="0"/>
                <w:sz w:val="28"/>
                <w:szCs w:val="28"/>
              </w:rPr>
              <w:t>)</w:t>
            </w:r>
          </w:p>
        </w:tc>
        <w:tc>
          <w:tcPr>
            <w:tcW w:w="1800" w:type="dxa"/>
            <w:vAlign w:val="center"/>
          </w:tcPr>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评价指标</w:t>
            </w:r>
          </w:p>
          <w:p>
            <w:pPr>
              <w:widowControl/>
              <w:spacing w:line="360" w:lineRule="exact"/>
              <w:jc w:val="center"/>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w:t>
            </w:r>
            <w:r>
              <w:rPr>
                <w:rFonts w:hint="eastAsia" w:ascii="Times New Roman" w:hAnsi="Times New Roman" w:eastAsia="仿宋"/>
                <w:b/>
                <w:bCs/>
                <w:color w:val="000000"/>
                <w:kern w:val="0"/>
                <w:sz w:val="28"/>
                <w:szCs w:val="28"/>
              </w:rPr>
              <w:t>自设</w:t>
            </w:r>
            <w:r>
              <w:rPr>
                <w:rFonts w:ascii="Times New Roman" w:hAnsi="Times New Roman" w:eastAsia="仿宋"/>
                <w:b/>
                <w:bCs/>
                <w:color w:val="000000"/>
                <w:kern w:val="0"/>
                <w:sz w:val="28"/>
                <w:szCs w:val="28"/>
              </w:rPr>
              <w:t>)</w:t>
            </w:r>
          </w:p>
        </w:tc>
        <w:tc>
          <w:tcPr>
            <w:tcW w:w="1035" w:type="dxa"/>
            <w:vAlign w:val="center"/>
          </w:tcPr>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分值</w:t>
            </w:r>
          </w:p>
          <w:p>
            <w:pPr>
              <w:widowControl/>
              <w:spacing w:line="360" w:lineRule="exact"/>
              <w:jc w:val="center"/>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w:t>
            </w:r>
            <w:r>
              <w:rPr>
                <w:rFonts w:hint="eastAsia" w:ascii="Times New Roman" w:hAnsi="Times New Roman" w:eastAsia="仿宋"/>
                <w:b/>
                <w:bCs/>
                <w:color w:val="000000"/>
                <w:kern w:val="0"/>
                <w:sz w:val="28"/>
                <w:szCs w:val="28"/>
              </w:rPr>
              <w:t>自设</w:t>
            </w:r>
            <w:r>
              <w:rPr>
                <w:rFonts w:ascii="Times New Roman" w:hAnsi="Times New Roman" w:eastAsia="仿宋"/>
                <w:b/>
                <w:bCs/>
                <w:color w:val="000000"/>
                <w:kern w:val="0"/>
                <w:sz w:val="28"/>
                <w:szCs w:val="28"/>
              </w:rPr>
              <w:t>)</w:t>
            </w:r>
          </w:p>
        </w:tc>
        <w:tc>
          <w:tcPr>
            <w:tcW w:w="1200" w:type="dxa"/>
            <w:vAlign w:val="center"/>
          </w:tcPr>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难易度系数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1449" w:type="dxa"/>
            <w:vMerge w:val="restart"/>
            <w:vAlign w:val="center"/>
          </w:tcPr>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凝练理</w:t>
            </w:r>
          </w:p>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念目标（必选）</w:t>
            </w: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1.</w:t>
            </w:r>
            <w:r>
              <w:rPr>
                <w:rFonts w:hint="eastAsia" w:ascii="Times New Roman" w:hAnsi="Times New Roman" w:eastAsia="仿宋"/>
                <w:b/>
                <w:bCs/>
                <w:color w:val="000000"/>
                <w:kern w:val="0"/>
                <w:sz w:val="28"/>
                <w:szCs w:val="28"/>
              </w:rPr>
              <w:t>办学理念设计适应现代学校发展方向：</w:t>
            </w:r>
            <w:r>
              <w:rPr>
                <w:rFonts w:hint="eastAsia" w:ascii="Times New Roman" w:hAnsi="Times New Roman" w:eastAsia="仿宋"/>
                <w:color w:val="000000"/>
                <w:kern w:val="0"/>
                <w:sz w:val="28"/>
                <w:szCs w:val="28"/>
              </w:rPr>
              <w:t>办学理念先进独特，高度凝练，内涵丰富；有传承，有创新，有共识；合乎教育发展规律，统领学校发展，与培养目标之间的内在逻辑关系清晰。</w:t>
            </w:r>
          </w:p>
        </w:tc>
        <w:tc>
          <w:tcPr>
            <w:tcW w:w="2100" w:type="dxa"/>
            <w:vMerge w:val="restart"/>
          </w:tcPr>
          <w:p>
            <w:pPr>
              <w:widowControl/>
              <w:spacing w:line="360" w:lineRule="exact"/>
              <w:jc w:val="left"/>
              <w:rPr>
                <w:rFonts w:ascii="Times New Roman" w:hAnsi="Times New Roman" w:eastAsia="仿宋"/>
                <w:color w:val="000000"/>
                <w:kern w:val="0"/>
                <w:sz w:val="28"/>
                <w:szCs w:val="28"/>
              </w:rPr>
            </w:pPr>
          </w:p>
          <w:p>
            <w:pPr>
              <w:rPr>
                <w:rFonts w:ascii="Times New Roman" w:hAnsi="Times New Roman" w:eastAsia="仿宋"/>
                <w:color w:val="000000"/>
                <w:kern w:val="0"/>
                <w:sz w:val="28"/>
                <w:szCs w:val="28"/>
              </w:rPr>
            </w:pPr>
          </w:p>
          <w:p>
            <w:pPr>
              <w:jc w:val="center"/>
              <w:rPr>
                <w:rFonts w:ascii="Times New Roman" w:hAnsi="Times New Roman" w:eastAsia="仿宋"/>
                <w:color w:val="000000"/>
                <w:kern w:val="0"/>
                <w:sz w:val="28"/>
                <w:szCs w:val="28"/>
              </w:rPr>
            </w:pPr>
          </w:p>
          <w:p>
            <w:pPr>
              <w:rPr>
                <w:rFonts w:ascii="Times New Roman" w:hAnsi="Times New Roman" w:eastAsia="仿宋"/>
                <w:color w:val="000000"/>
                <w:kern w:val="0"/>
                <w:sz w:val="28"/>
                <w:szCs w:val="28"/>
              </w:rPr>
            </w:pPr>
          </w:p>
          <w:p>
            <w:pPr>
              <w:jc w:val="left"/>
            </w:pPr>
          </w:p>
        </w:tc>
        <w:tc>
          <w:tcPr>
            <w:tcW w:w="1800" w:type="dxa"/>
            <w:vMerge w:val="restart"/>
          </w:tcPr>
          <w:p>
            <w:pPr>
              <w:jc w:val="left"/>
            </w:pPr>
          </w:p>
        </w:tc>
        <w:tc>
          <w:tcPr>
            <w:tcW w:w="1035" w:type="dxa"/>
            <w:vMerge w:val="restart"/>
          </w:tcPr>
          <w:p>
            <w:pPr>
              <w:jc w:val="left"/>
            </w:pPr>
          </w:p>
          <w:p/>
          <w:p/>
          <w:p/>
          <w:p>
            <w:pPr>
              <w:ind w:firstLine="492"/>
              <w:jc w:val="left"/>
            </w:pPr>
          </w:p>
        </w:tc>
        <w:tc>
          <w:tcPr>
            <w:tcW w:w="1200" w:type="dxa"/>
            <w:vMerge w:val="restart"/>
          </w:tcPr>
          <w:p>
            <w:pPr>
              <w:ind w:firstLine="492"/>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1449" w:type="dxa"/>
            <w:vMerge w:val="continue"/>
            <w:vAlign w:val="center"/>
          </w:tcPr>
          <w:p>
            <w:pPr>
              <w:widowControl/>
              <w:spacing w:line="360" w:lineRule="exact"/>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2.</w:t>
            </w:r>
            <w:r>
              <w:rPr>
                <w:rFonts w:hint="eastAsia" w:ascii="Times New Roman" w:hAnsi="Times New Roman" w:eastAsia="仿宋"/>
                <w:b/>
                <w:bCs/>
                <w:color w:val="000000"/>
                <w:kern w:val="0"/>
                <w:sz w:val="28"/>
                <w:szCs w:val="28"/>
              </w:rPr>
              <w:t>办学目标定位契合教育改革与发展要求：</w:t>
            </w:r>
            <w:r>
              <w:rPr>
                <w:rFonts w:hint="eastAsia" w:ascii="Times New Roman" w:hAnsi="Times New Roman" w:eastAsia="仿宋"/>
                <w:color w:val="000000"/>
                <w:kern w:val="0"/>
                <w:sz w:val="28"/>
                <w:szCs w:val="28"/>
              </w:rPr>
              <w:t>发展愿景与阶段目标符合学校实际和发展规律，体现出阶段性、递进性和自身特点；建立能促进学生全面发展的求真务实、富有特色的现代化学校。</w:t>
            </w:r>
            <w:r>
              <w:rPr>
                <w:rFonts w:hint="eastAsia" w:ascii="Times New Roman" w:hAnsi="Times New Roman" w:eastAsia="仿宋"/>
                <w:snapToGrid w:val="0"/>
                <w:color w:val="000000"/>
                <w:kern w:val="0"/>
                <w:sz w:val="28"/>
                <w:szCs w:val="28"/>
              </w:rPr>
              <w:t>职业学校要坚持以立德树人为根本，以服务发展为宗旨，以促进就业为导向的教育观念，充分体现职业教育办学特色。</w:t>
            </w:r>
          </w:p>
        </w:tc>
        <w:tc>
          <w:tcPr>
            <w:tcW w:w="2100" w:type="dxa"/>
            <w:vMerge w:val="continue"/>
          </w:tcPr>
          <w:p>
            <w:pPr>
              <w:widowControl/>
              <w:spacing w:line="360" w:lineRule="exact"/>
            </w:pPr>
          </w:p>
        </w:tc>
        <w:tc>
          <w:tcPr>
            <w:tcW w:w="1800" w:type="dxa"/>
            <w:vMerge w:val="continue"/>
          </w:tcPr>
          <w:p>
            <w:pPr>
              <w:widowControl/>
              <w:spacing w:line="360" w:lineRule="exact"/>
            </w:pPr>
          </w:p>
        </w:tc>
        <w:tc>
          <w:tcPr>
            <w:tcW w:w="1035" w:type="dxa"/>
            <w:vMerge w:val="continue"/>
          </w:tcPr>
          <w:p>
            <w:pPr>
              <w:widowControl/>
              <w:spacing w:line="360" w:lineRule="exact"/>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3.</w:t>
            </w:r>
            <w:r>
              <w:rPr>
                <w:rFonts w:hint="eastAsia" w:ascii="Times New Roman" w:hAnsi="Times New Roman" w:eastAsia="仿宋"/>
                <w:b/>
                <w:bCs/>
                <w:color w:val="000000"/>
                <w:kern w:val="0"/>
                <w:sz w:val="28"/>
                <w:szCs w:val="28"/>
              </w:rPr>
              <w:t>培养目标定位符合教育方针，适应时代发展需求：</w:t>
            </w:r>
            <w:r>
              <w:rPr>
                <w:rFonts w:hint="eastAsia" w:ascii="Times New Roman" w:hAnsi="Times New Roman" w:eastAsia="仿宋"/>
                <w:color w:val="000000"/>
                <w:kern w:val="0"/>
                <w:sz w:val="28"/>
                <w:szCs w:val="28"/>
              </w:rPr>
              <w:t>目标定位注重学生核心素养与特有品质的设计，促进学生自主发展和个性特长发展，体现学校办学特色；学生培养目标注重培养既有民族情怀，又有国际视野与社会主义现代化建设需要相适应的时代新人。教师培养目标注重培育有理想信念、有高尚情操、有扎实学识、有仁爱之心的“四有”教师团队。</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1449" w:type="dxa"/>
            <w:vMerge w:val="restart"/>
            <w:vAlign w:val="center"/>
          </w:tcPr>
          <w:p>
            <w:pPr>
              <w:widowControl/>
              <w:spacing w:line="360" w:lineRule="exact"/>
              <w:jc w:val="center"/>
              <w:rPr>
                <w:rFonts w:ascii="Times New Roman" w:hAnsi="Times New Roman" w:eastAsia="仿宋"/>
                <w:b/>
                <w:color w:val="000000"/>
                <w:kern w:val="0"/>
                <w:sz w:val="28"/>
                <w:szCs w:val="28"/>
              </w:rPr>
            </w:pPr>
            <w:r>
              <w:rPr>
                <w:rFonts w:hint="eastAsia" w:ascii="Times New Roman" w:hAnsi="Times New Roman" w:eastAsia="仿宋"/>
                <w:b/>
                <w:bCs/>
                <w:color w:val="000000"/>
                <w:kern w:val="0"/>
                <w:sz w:val="28"/>
                <w:szCs w:val="28"/>
              </w:rPr>
              <w:t>强化立德树人</w:t>
            </w: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1.</w:t>
            </w:r>
            <w:r>
              <w:rPr>
                <w:rFonts w:hint="eastAsia" w:ascii="Times New Roman" w:hAnsi="Times New Roman" w:eastAsia="仿宋"/>
                <w:b/>
                <w:bCs/>
                <w:color w:val="000000"/>
                <w:kern w:val="0"/>
                <w:sz w:val="28"/>
                <w:szCs w:val="28"/>
              </w:rPr>
              <w:t>确立“立德树人”的育人思想：</w:t>
            </w:r>
            <w:r>
              <w:rPr>
                <w:rFonts w:hint="eastAsia" w:ascii="Times New Roman" w:hAnsi="Times New Roman" w:eastAsia="仿宋"/>
                <w:color w:val="000000"/>
                <w:kern w:val="0"/>
                <w:sz w:val="28"/>
                <w:szCs w:val="28"/>
              </w:rPr>
              <w:t>以实现中华民族伟大复兴的中国梦为主题，以践行社会主义核心价值观为重点，从情感、态度、价值观培育入手，结合学校特点，培养学生良好的品德和高尚的人格。</w:t>
            </w:r>
          </w:p>
        </w:tc>
        <w:tc>
          <w:tcPr>
            <w:tcW w:w="2100" w:type="dxa"/>
            <w:vMerge w:val="restart"/>
          </w:tcPr>
          <w:p>
            <w:pPr>
              <w:widowControl/>
              <w:spacing w:line="360" w:lineRule="exact"/>
              <w:jc w:val="left"/>
              <w:rPr>
                <w:rFonts w:ascii="Times New Roman" w:hAnsi="Times New Roman" w:eastAsia="仿宋"/>
                <w:color w:val="000000"/>
                <w:kern w:val="0"/>
                <w:sz w:val="28"/>
                <w:szCs w:val="28"/>
              </w:rPr>
            </w:pPr>
          </w:p>
          <w:p>
            <w:pPr>
              <w:widowControl/>
              <w:spacing w:line="360" w:lineRule="exact"/>
              <w:jc w:val="left"/>
              <w:rPr>
                <w:rFonts w:ascii="Times New Roman" w:hAnsi="Times New Roman" w:eastAsia="仿宋"/>
                <w:color w:val="000000"/>
                <w:kern w:val="0"/>
                <w:sz w:val="28"/>
                <w:szCs w:val="28"/>
              </w:rPr>
            </w:pPr>
          </w:p>
          <w:p>
            <w:pPr>
              <w:widowControl/>
              <w:spacing w:line="360" w:lineRule="exact"/>
              <w:jc w:val="left"/>
              <w:rPr>
                <w:rFonts w:ascii="Times New Roman" w:hAnsi="Times New Roman" w:eastAsia="仿宋"/>
                <w:color w:val="000000"/>
                <w:kern w:val="0"/>
                <w:sz w:val="28"/>
                <w:szCs w:val="28"/>
              </w:rPr>
            </w:pPr>
          </w:p>
          <w:p>
            <w:pPr>
              <w:widowControl/>
              <w:spacing w:line="360" w:lineRule="exact"/>
              <w:jc w:val="left"/>
              <w:rPr>
                <w:rFonts w:ascii="Times New Roman" w:hAnsi="Times New Roman" w:eastAsia="仿宋"/>
                <w:color w:val="000000"/>
                <w:kern w:val="0"/>
                <w:sz w:val="28"/>
                <w:szCs w:val="28"/>
              </w:rPr>
            </w:pPr>
          </w:p>
        </w:tc>
        <w:tc>
          <w:tcPr>
            <w:tcW w:w="1800" w:type="dxa"/>
            <w:vMerge w:val="restart"/>
          </w:tcPr>
          <w:p>
            <w:pPr>
              <w:widowControl/>
              <w:spacing w:line="360" w:lineRule="exact"/>
              <w:jc w:val="left"/>
              <w:rPr>
                <w:rFonts w:ascii="Times New Roman" w:hAnsi="Times New Roman" w:eastAsia="仿宋"/>
                <w:color w:val="000000"/>
                <w:kern w:val="0"/>
                <w:sz w:val="28"/>
                <w:szCs w:val="28"/>
              </w:rPr>
            </w:pPr>
          </w:p>
        </w:tc>
        <w:tc>
          <w:tcPr>
            <w:tcW w:w="1035" w:type="dxa"/>
            <w:vMerge w:val="restart"/>
          </w:tcPr>
          <w:p>
            <w:pPr>
              <w:widowControl/>
              <w:spacing w:line="360" w:lineRule="exact"/>
              <w:jc w:val="left"/>
              <w:rPr>
                <w:rFonts w:ascii="Times New Roman" w:hAnsi="Times New Roman" w:eastAsia="仿宋"/>
                <w:color w:val="000000"/>
                <w:kern w:val="0"/>
                <w:sz w:val="28"/>
                <w:szCs w:val="28"/>
              </w:rPr>
            </w:pPr>
          </w:p>
        </w:tc>
        <w:tc>
          <w:tcPr>
            <w:tcW w:w="1200" w:type="dxa"/>
            <w:vMerge w:val="restart"/>
          </w:tcPr>
          <w:p>
            <w:pPr>
              <w:widowControl/>
              <w:spacing w:line="360" w:lineRule="exact"/>
              <w:jc w:val="left"/>
              <w:rPr>
                <w:rFonts w:ascii="Times New Roman" w:hAnsi="Times New Roman"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449" w:type="dxa"/>
            <w:vMerge w:val="continue"/>
            <w:vAlign w:val="center"/>
          </w:tcPr>
          <w:p>
            <w:pPr>
              <w:widowControl/>
              <w:spacing w:line="360" w:lineRule="exact"/>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sz w:val="28"/>
                <w:szCs w:val="28"/>
              </w:rPr>
              <w:t>2.</w:t>
            </w:r>
            <w:r>
              <w:rPr>
                <w:rFonts w:hint="eastAsia" w:ascii="Times New Roman" w:hAnsi="Times New Roman" w:eastAsia="仿宋"/>
                <w:b/>
                <w:bCs/>
                <w:color w:val="000000"/>
                <w:sz w:val="28"/>
                <w:szCs w:val="28"/>
              </w:rPr>
              <w:t>强化德育、美育、体育师资队伍建设：</w:t>
            </w:r>
            <w:r>
              <w:rPr>
                <w:rFonts w:hint="eastAsia" w:ascii="Times New Roman" w:hAnsi="Times New Roman" w:eastAsia="仿宋"/>
                <w:bCs/>
                <w:color w:val="000000"/>
                <w:sz w:val="28"/>
                <w:szCs w:val="28"/>
              </w:rPr>
              <w:t>强化三支德育队伍（班主任、德育学科教师、各科教师）建设，加强美育、体育教师配备，全面落实育人理念，将核心素养落细落小落实。尤其注重班主任队伍的专业化水平提升，落实法治副校长制度。基本形成以学校为主体，与家庭、社区相结合的教育网络。</w:t>
            </w:r>
          </w:p>
        </w:tc>
        <w:tc>
          <w:tcPr>
            <w:tcW w:w="2100" w:type="dxa"/>
            <w:vMerge w:val="continue"/>
          </w:tcPr>
          <w:p>
            <w:pPr>
              <w:widowControl/>
              <w:spacing w:line="360" w:lineRule="exact"/>
            </w:pPr>
          </w:p>
        </w:tc>
        <w:tc>
          <w:tcPr>
            <w:tcW w:w="1800" w:type="dxa"/>
            <w:vMerge w:val="continue"/>
          </w:tcPr>
          <w:p>
            <w:pPr>
              <w:widowControl/>
              <w:spacing w:line="360" w:lineRule="exact"/>
            </w:pPr>
          </w:p>
        </w:tc>
        <w:tc>
          <w:tcPr>
            <w:tcW w:w="1035" w:type="dxa"/>
            <w:vMerge w:val="continue"/>
          </w:tcPr>
          <w:p>
            <w:pPr>
              <w:widowControl/>
              <w:spacing w:line="360" w:lineRule="exact"/>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3.</w:t>
            </w:r>
            <w:r>
              <w:rPr>
                <w:rFonts w:hint="eastAsia" w:ascii="Times New Roman" w:hAnsi="Times New Roman" w:eastAsia="仿宋"/>
                <w:b/>
                <w:bCs/>
                <w:color w:val="000000"/>
                <w:kern w:val="0"/>
                <w:sz w:val="28"/>
                <w:szCs w:val="28"/>
              </w:rPr>
              <w:t>重视德育、美育、体育课程和基地建设：</w:t>
            </w:r>
            <w:r>
              <w:rPr>
                <w:rFonts w:hint="eastAsia" w:ascii="Times New Roman" w:hAnsi="Times New Roman" w:eastAsia="仿宋"/>
                <w:color w:val="000000"/>
                <w:sz w:val="28"/>
                <w:szCs w:val="28"/>
              </w:rPr>
              <w:t>统筹整合德育、美育、体育的国家课程、地方课程和校本课程，开发开设有特色的德育、美育、体育选修课程；深化课堂改革，有效落实情感态度价值观要求，开展“生活化</w:t>
            </w:r>
            <w:r>
              <w:rPr>
                <w:rFonts w:ascii="Times New Roman" w:hAnsi="Times New Roman" w:eastAsia="仿宋"/>
                <w:color w:val="000000"/>
                <w:sz w:val="28"/>
                <w:szCs w:val="28"/>
              </w:rPr>
              <w:t>+</w:t>
            </w:r>
            <w:r>
              <w:rPr>
                <w:rFonts w:hint="eastAsia" w:ascii="Times New Roman" w:hAnsi="Times New Roman" w:eastAsia="仿宋"/>
                <w:color w:val="000000"/>
                <w:sz w:val="28"/>
                <w:szCs w:val="28"/>
              </w:rPr>
              <w:t>活动化”的德育课程教学模式；</w:t>
            </w:r>
            <w:r>
              <w:rPr>
                <w:rFonts w:hint="eastAsia" w:ascii="Times New Roman" w:hAnsi="Times New Roman" w:eastAsia="仿宋"/>
                <w:color w:val="000000"/>
                <w:kern w:val="0"/>
                <w:sz w:val="28"/>
                <w:szCs w:val="28"/>
              </w:rPr>
              <w:t>充分利用社会资源为学生成长服务，</w:t>
            </w:r>
            <w:r>
              <w:rPr>
                <w:rFonts w:hint="eastAsia" w:ascii="Times New Roman" w:hAnsi="Times New Roman" w:eastAsia="仿宋"/>
                <w:color w:val="000000"/>
                <w:sz w:val="28"/>
                <w:szCs w:val="28"/>
              </w:rPr>
              <w:t>开辟德育第二课堂，组织学生走向社会，体验生活。</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4.</w:t>
            </w:r>
            <w:r>
              <w:rPr>
                <w:rFonts w:hint="eastAsia" w:ascii="Times New Roman" w:hAnsi="Times New Roman" w:eastAsia="仿宋"/>
                <w:b/>
                <w:bCs/>
                <w:color w:val="000000"/>
                <w:kern w:val="0"/>
                <w:sz w:val="28"/>
                <w:szCs w:val="28"/>
              </w:rPr>
              <w:t>提升德育工作的针对性和实效性：</w:t>
            </w:r>
            <w:r>
              <w:rPr>
                <w:rFonts w:hint="eastAsia" w:ascii="Times New Roman" w:hAnsi="Times New Roman" w:eastAsia="仿宋"/>
                <w:color w:val="000000"/>
                <w:kern w:val="0"/>
                <w:sz w:val="28"/>
                <w:szCs w:val="28"/>
              </w:rPr>
              <w:t>创新德育工作模式，围绕生本理念，通过实现路径创新与载体创新，探索德育工作品质化、课程化、生活化和社会化，崇德力行，知行合一，凸显育人效果，形成富有特色的学校德育工作新模式。</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9" w:type="dxa"/>
            <w:vMerge w:val="restart"/>
            <w:vAlign w:val="center"/>
          </w:tcPr>
          <w:p>
            <w:pPr>
              <w:widowControl/>
              <w:spacing w:line="32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完善课</w:t>
            </w:r>
          </w:p>
          <w:p>
            <w:pPr>
              <w:widowControl/>
              <w:spacing w:line="320" w:lineRule="exact"/>
              <w:jc w:val="center"/>
              <w:rPr>
                <w:rFonts w:ascii="Times New Roman" w:hAnsi="Times New Roman" w:eastAsia="仿宋"/>
                <w:b/>
                <w:color w:val="000000"/>
                <w:kern w:val="0"/>
                <w:sz w:val="28"/>
                <w:szCs w:val="28"/>
              </w:rPr>
            </w:pPr>
            <w:r>
              <w:rPr>
                <w:rFonts w:hint="eastAsia" w:ascii="Times New Roman" w:hAnsi="Times New Roman" w:eastAsia="仿宋"/>
                <w:b/>
                <w:bCs/>
                <w:color w:val="000000"/>
                <w:kern w:val="0"/>
                <w:sz w:val="28"/>
                <w:szCs w:val="28"/>
              </w:rPr>
              <w:t>程体系</w:t>
            </w: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1.</w:t>
            </w:r>
            <w:r>
              <w:rPr>
                <w:rFonts w:hint="eastAsia" w:ascii="Times New Roman" w:hAnsi="Times New Roman" w:eastAsia="仿宋"/>
                <w:b/>
                <w:bCs/>
                <w:color w:val="000000"/>
                <w:kern w:val="0"/>
                <w:sz w:val="28"/>
                <w:szCs w:val="28"/>
              </w:rPr>
              <w:t>课程设置理念先进：</w:t>
            </w:r>
            <w:r>
              <w:rPr>
                <w:rFonts w:hint="eastAsia" w:ascii="Times New Roman" w:hAnsi="Times New Roman" w:eastAsia="仿宋"/>
                <w:color w:val="000000"/>
                <w:kern w:val="0"/>
                <w:sz w:val="28"/>
                <w:szCs w:val="28"/>
              </w:rPr>
              <w:t>课程设置符合课程改革精神和学生实际，创设学生自主选择的内容和探究的空间。中职学校课程设置要充分体现行业企业的要求和职业岗位特点。</w:t>
            </w:r>
          </w:p>
        </w:tc>
        <w:tc>
          <w:tcPr>
            <w:tcW w:w="2100" w:type="dxa"/>
            <w:vMerge w:val="restart"/>
          </w:tcPr>
          <w:p>
            <w:pPr>
              <w:widowControl/>
              <w:spacing w:line="360" w:lineRule="exact"/>
              <w:jc w:val="left"/>
              <w:rPr>
                <w:rFonts w:ascii="Times New Roman" w:hAnsi="Times New Roman" w:eastAsia="仿宋"/>
                <w:color w:val="000000"/>
                <w:kern w:val="0"/>
                <w:sz w:val="28"/>
                <w:szCs w:val="28"/>
              </w:rPr>
            </w:pPr>
          </w:p>
        </w:tc>
        <w:tc>
          <w:tcPr>
            <w:tcW w:w="1800" w:type="dxa"/>
            <w:vMerge w:val="restart"/>
          </w:tcPr>
          <w:p>
            <w:pPr>
              <w:widowControl/>
              <w:spacing w:line="360" w:lineRule="exact"/>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 xml:space="preserve"> </w:t>
            </w:r>
          </w:p>
        </w:tc>
        <w:tc>
          <w:tcPr>
            <w:tcW w:w="1035" w:type="dxa"/>
            <w:vMerge w:val="restart"/>
          </w:tcPr>
          <w:p>
            <w:pPr>
              <w:widowControl/>
              <w:spacing w:line="360" w:lineRule="exact"/>
              <w:jc w:val="left"/>
              <w:rPr>
                <w:rFonts w:ascii="Times New Roman" w:hAnsi="Times New Roman" w:eastAsia="仿宋"/>
                <w:color w:val="000000"/>
                <w:kern w:val="0"/>
                <w:sz w:val="28"/>
                <w:szCs w:val="28"/>
              </w:rPr>
            </w:pPr>
          </w:p>
        </w:tc>
        <w:tc>
          <w:tcPr>
            <w:tcW w:w="1200" w:type="dxa"/>
            <w:vMerge w:val="restart"/>
          </w:tcPr>
          <w:p>
            <w:pPr>
              <w:widowControl/>
              <w:spacing w:line="360" w:lineRule="exact"/>
              <w:jc w:val="left"/>
              <w:rPr>
                <w:rFonts w:ascii="Times New Roman" w:hAnsi="Times New Roman"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449" w:type="dxa"/>
            <w:vMerge w:val="continue"/>
            <w:vAlign w:val="center"/>
          </w:tcPr>
          <w:p>
            <w:pPr>
              <w:widowControl/>
              <w:spacing w:line="360" w:lineRule="exact"/>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2.</w:t>
            </w:r>
            <w:r>
              <w:rPr>
                <w:rFonts w:hint="eastAsia" w:ascii="Times New Roman" w:hAnsi="Times New Roman" w:eastAsia="仿宋"/>
                <w:b/>
                <w:bCs/>
                <w:color w:val="000000"/>
                <w:kern w:val="0"/>
                <w:sz w:val="28"/>
                <w:szCs w:val="28"/>
              </w:rPr>
              <w:t>课程体系建设完备：</w:t>
            </w:r>
            <w:r>
              <w:rPr>
                <w:rFonts w:hint="eastAsia" w:ascii="Times New Roman" w:hAnsi="Times New Roman" w:eastAsia="仿宋"/>
                <w:color w:val="000000"/>
                <w:kern w:val="0"/>
                <w:sz w:val="28"/>
                <w:szCs w:val="28"/>
              </w:rPr>
              <w:t>根据培养目标，开发具有校本特色的选修课程与拓展性课程，注重国家课程校本化，形成富有特色的课程文化与课程体系。中职学校还要开设具有职教特色的创新创业课程。</w:t>
            </w:r>
          </w:p>
        </w:tc>
        <w:tc>
          <w:tcPr>
            <w:tcW w:w="2100" w:type="dxa"/>
            <w:vMerge w:val="continue"/>
          </w:tcPr>
          <w:p>
            <w:pPr>
              <w:widowControl/>
              <w:spacing w:line="360" w:lineRule="exact"/>
            </w:pPr>
          </w:p>
        </w:tc>
        <w:tc>
          <w:tcPr>
            <w:tcW w:w="1800" w:type="dxa"/>
            <w:vMerge w:val="continue"/>
          </w:tcPr>
          <w:p>
            <w:pPr>
              <w:widowControl/>
              <w:spacing w:line="360" w:lineRule="exact"/>
            </w:pPr>
          </w:p>
        </w:tc>
        <w:tc>
          <w:tcPr>
            <w:tcW w:w="1035" w:type="dxa"/>
            <w:vMerge w:val="continue"/>
          </w:tcPr>
          <w:p>
            <w:pPr>
              <w:widowControl/>
              <w:spacing w:line="360" w:lineRule="exact"/>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3.</w:t>
            </w:r>
            <w:r>
              <w:rPr>
                <w:rFonts w:hint="eastAsia" w:ascii="Times New Roman" w:hAnsi="Times New Roman" w:eastAsia="仿宋"/>
                <w:b/>
                <w:bCs/>
                <w:color w:val="000000"/>
                <w:kern w:val="0"/>
                <w:sz w:val="28"/>
                <w:szCs w:val="28"/>
              </w:rPr>
              <w:t>课程内容有时代气息：</w:t>
            </w:r>
            <w:r>
              <w:rPr>
                <w:rFonts w:hint="eastAsia" w:ascii="Times New Roman" w:hAnsi="Times New Roman" w:eastAsia="仿宋"/>
                <w:color w:val="000000"/>
                <w:kern w:val="0"/>
                <w:sz w:val="28"/>
                <w:szCs w:val="28"/>
              </w:rPr>
              <w:t>课程内容注重科学性、生成性，体现学科整合的特点，重视三维目标的实现。体现学生创新精神与实践能力的培养，体现学生共性品质的培养和个性发展的需求，体现信息化时代的特征。注重信息化背景下教学内容的创新，注重信息技术与教学内容的应用融合。中职学校课程内容要体现实践性、技术性、技能性，与行业企业标准相匹配。</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4.</w:t>
            </w:r>
            <w:r>
              <w:rPr>
                <w:rFonts w:hint="eastAsia" w:ascii="Times New Roman" w:hAnsi="Times New Roman" w:eastAsia="仿宋"/>
                <w:b/>
                <w:bCs/>
                <w:color w:val="000000"/>
                <w:kern w:val="0"/>
                <w:sz w:val="28"/>
                <w:szCs w:val="28"/>
              </w:rPr>
              <w:t>课程开发开设符合省定要求：</w:t>
            </w:r>
            <w:r>
              <w:rPr>
                <w:rFonts w:hint="eastAsia" w:ascii="Times New Roman" w:hAnsi="Times New Roman" w:eastAsia="仿宋"/>
                <w:color w:val="000000"/>
                <w:kern w:val="0"/>
                <w:sz w:val="28"/>
                <w:szCs w:val="28"/>
              </w:rPr>
              <w:t>充分利用课程资源为学生成长成才服务，创造性地开发适应学生发展需要的校本课程；校本课程要有完整规范的课程纲要、标准、目标、内容及实施方案；学校课程管理制度完善；建立课程开发与教学的资源库。</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trPr>
        <w:tc>
          <w:tcPr>
            <w:tcW w:w="1449" w:type="dxa"/>
            <w:vMerge w:val="restart"/>
            <w:vAlign w:val="center"/>
          </w:tcPr>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创新育</w:t>
            </w:r>
          </w:p>
          <w:p>
            <w:pPr>
              <w:widowControl/>
              <w:spacing w:line="360" w:lineRule="exact"/>
              <w:jc w:val="center"/>
              <w:rPr>
                <w:rFonts w:ascii="Times New Roman" w:hAnsi="Times New Roman" w:eastAsia="仿宋"/>
                <w:b/>
                <w:color w:val="000000"/>
                <w:kern w:val="0"/>
                <w:sz w:val="28"/>
                <w:szCs w:val="28"/>
              </w:rPr>
            </w:pPr>
            <w:r>
              <w:rPr>
                <w:rFonts w:hint="eastAsia" w:ascii="Times New Roman" w:hAnsi="Times New Roman" w:eastAsia="仿宋"/>
                <w:b/>
                <w:bCs/>
                <w:color w:val="000000"/>
                <w:kern w:val="0"/>
                <w:sz w:val="28"/>
                <w:szCs w:val="28"/>
              </w:rPr>
              <w:t>人模式</w:t>
            </w: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1.</w:t>
            </w:r>
            <w:r>
              <w:rPr>
                <w:rFonts w:hint="eastAsia" w:ascii="Times New Roman" w:hAnsi="Times New Roman" w:eastAsia="仿宋"/>
                <w:b/>
                <w:bCs/>
                <w:color w:val="000000"/>
                <w:kern w:val="0"/>
                <w:sz w:val="28"/>
                <w:szCs w:val="28"/>
              </w:rPr>
              <w:t>教学改革思路清晰：</w:t>
            </w:r>
            <w:r>
              <w:rPr>
                <w:rFonts w:hint="eastAsia" w:ascii="Times New Roman" w:hAnsi="Times New Roman" w:eastAsia="仿宋"/>
                <w:color w:val="000000"/>
                <w:kern w:val="0"/>
                <w:sz w:val="28"/>
                <w:szCs w:val="28"/>
              </w:rPr>
              <w:t>教学改革突出“以学论教，学为中心”，目标明确，针对性强；校本教研氛围浓厚，主题明确，途径与方法多元，促进教师的专业成长。课堂教学优化，逐步形成富有学校特色的教学模式。中职学校要推进现代学徒制改革试点，形成产教融合、校企合作的办学模式和德技并修、工学结合的育人机制。</w:t>
            </w:r>
          </w:p>
        </w:tc>
        <w:tc>
          <w:tcPr>
            <w:tcW w:w="2100" w:type="dxa"/>
            <w:vMerge w:val="restart"/>
          </w:tcPr>
          <w:p>
            <w:pPr>
              <w:widowControl/>
              <w:spacing w:line="360" w:lineRule="exact"/>
              <w:jc w:val="left"/>
              <w:rPr>
                <w:rFonts w:ascii="Times New Roman" w:hAnsi="Times New Roman" w:eastAsia="仿宋"/>
                <w:color w:val="000000"/>
                <w:kern w:val="0"/>
                <w:sz w:val="28"/>
                <w:szCs w:val="28"/>
              </w:rPr>
            </w:pPr>
          </w:p>
          <w:p>
            <w:pPr>
              <w:widowControl/>
              <w:spacing w:line="360" w:lineRule="exact"/>
              <w:jc w:val="left"/>
              <w:rPr>
                <w:rFonts w:ascii="Times New Roman" w:hAnsi="Times New Roman" w:eastAsia="仿宋"/>
                <w:color w:val="000000"/>
                <w:kern w:val="0"/>
                <w:sz w:val="28"/>
                <w:szCs w:val="28"/>
              </w:rPr>
            </w:pPr>
          </w:p>
          <w:p>
            <w:pPr>
              <w:widowControl/>
              <w:spacing w:line="360" w:lineRule="exact"/>
              <w:jc w:val="left"/>
              <w:rPr>
                <w:rFonts w:ascii="Times New Roman" w:hAnsi="Times New Roman" w:eastAsia="仿宋"/>
                <w:color w:val="000000"/>
                <w:kern w:val="0"/>
                <w:sz w:val="28"/>
                <w:szCs w:val="28"/>
              </w:rPr>
            </w:pPr>
          </w:p>
          <w:p>
            <w:pPr>
              <w:widowControl/>
              <w:spacing w:line="360" w:lineRule="exact"/>
              <w:jc w:val="left"/>
              <w:rPr>
                <w:rFonts w:ascii="Times New Roman" w:hAnsi="Times New Roman" w:eastAsia="仿宋"/>
                <w:color w:val="000000"/>
                <w:kern w:val="0"/>
                <w:sz w:val="28"/>
                <w:szCs w:val="28"/>
              </w:rPr>
            </w:pPr>
          </w:p>
        </w:tc>
        <w:tc>
          <w:tcPr>
            <w:tcW w:w="1800" w:type="dxa"/>
            <w:vMerge w:val="restart"/>
          </w:tcPr>
          <w:p>
            <w:pPr>
              <w:widowControl/>
              <w:spacing w:line="360" w:lineRule="exact"/>
              <w:jc w:val="left"/>
              <w:rPr>
                <w:rFonts w:ascii="Times New Roman" w:hAnsi="Times New Roman" w:eastAsia="仿宋"/>
                <w:color w:val="000000"/>
                <w:kern w:val="0"/>
                <w:sz w:val="28"/>
                <w:szCs w:val="28"/>
              </w:rPr>
            </w:pPr>
          </w:p>
        </w:tc>
        <w:tc>
          <w:tcPr>
            <w:tcW w:w="1035" w:type="dxa"/>
            <w:vMerge w:val="restart"/>
          </w:tcPr>
          <w:p>
            <w:pPr>
              <w:widowControl/>
              <w:spacing w:line="360" w:lineRule="exact"/>
              <w:jc w:val="left"/>
              <w:rPr>
                <w:rFonts w:ascii="Times New Roman" w:hAnsi="Times New Roman" w:eastAsia="仿宋"/>
                <w:color w:val="000000"/>
                <w:kern w:val="0"/>
                <w:sz w:val="28"/>
                <w:szCs w:val="28"/>
              </w:rPr>
            </w:pPr>
          </w:p>
        </w:tc>
        <w:tc>
          <w:tcPr>
            <w:tcW w:w="1200" w:type="dxa"/>
            <w:vMerge w:val="restart"/>
          </w:tcPr>
          <w:p>
            <w:pPr>
              <w:widowControl/>
              <w:spacing w:line="360" w:lineRule="exact"/>
              <w:jc w:val="left"/>
              <w:rPr>
                <w:rFonts w:ascii="Times New Roman" w:hAnsi="Times New Roman"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449" w:type="dxa"/>
            <w:vMerge w:val="continue"/>
            <w:vAlign w:val="center"/>
          </w:tcPr>
          <w:p>
            <w:pPr>
              <w:widowControl/>
              <w:spacing w:line="360" w:lineRule="exact"/>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2.</w:t>
            </w:r>
            <w:r>
              <w:rPr>
                <w:rFonts w:hint="eastAsia" w:ascii="Times New Roman" w:hAnsi="Times New Roman" w:eastAsia="仿宋"/>
                <w:b/>
                <w:bCs/>
                <w:color w:val="000000"/>
                <w:kern w:val="0"/>
                <w:sz w:val="28"/>
                <w:szCs w:val="28"/>
              </w:rPr>
              <w:t>基于现代技术的高效课堂建设：</w:t>
            </w:r>
            <w:r>
              <w:rPr>
                <w:rFonts w:hint="eastAsia" w:ascii="Times New Roman" w:hAnsi="Times New Roman" w:eastAsia="仿宋"/>
                <w:color w:val="000000"/>
                <w:kern w:val="0"/>
                <w:sz w:val="28"/>
                <w:szCs w:val="28"/>
              </w:rPr>
              <w:t>教师积极主动地转变自身角色、教学方式与教学行为，利用现代教育技术手段，指导学生学会学习，提高课堂教学效率。中职学校深入推行项目教学、案例教学、情景教学，充分运用信息技术营造真实职业环境，倡导仿真模拟教学。</w:t>
            </w:r>
          </w:p>
        </w:tc>
        <w:tc>
          <w:tcPr>
            <w:tcW w:w="2100" w:type="dxa"/>
            <w:vMerge w:val="continue"/>
          </w:tcPr>
          <w:p>
            <w:pPr>
              <w:widowControl/>
              <w:spacing w:line="360" w:lineRule="exact"/>
            </w:pPr>
          </w:p>
        </w:tc>
        <w:tc>
          <w:tcPr>
            <w:tcW w:w="1800" w:type="dxa"/>
            <w:vMerge w:val="continue"/>
          </w:tcPr>
          <w:p>
            <w:pPr>
              <w:widowControl/>
              <w:spacing w:line="360" w:lineRule="exact"/>
            </w:pPr>
          </w:p>
        </w:tc>
        <w:tc>
          <w:tcPr>
            <w:tcW w:w="1035" w:type="dxa"/>
            <w:vMerge w:val="continue"/>
          </w:tcPr>
          <w:p>
            <w:pPr>
              <w:widowControl/>
              <w:spacing w:line="360" w:lineRule="exact"/>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3.</w:t>
            </w:r>
            <w:r>
              <w:rPr>
                <w:rFonts w:hint="eastAsia" w:ascii="Times New Roman" w:hAnsi="Times New Roman" w:eastAsia="仿宋"/>
                <w:b/>
                <w:bCs/>
                <w:color w:val="000000"/>
                <w:kern w:val="0"/>
                <w:sz w:val="28"/>
                <w:szCs w:val="28"/>
              </w:rPr>
              <w:t>探索课堂新样态：</w:t>
            </w:r>
            <w:r>
              <w:rPr>
                <w:rFonts w:hint="eastAsia" w:ascii="Times New Roman" w:hAnsi="Times New Roman" w:eastAsia="仿宋"/>
                <w:color w:val="000000"/>
                <w:kern w:val="0"/>
                <w:sz w:val="28"/>
                <w:szCs w:val="28"/>
              </w:rPr>
              <w:t>关注学生创新实践和参与社会的能力，通过以真实任务解决为核心的跨学科学习，在探索深度学习中落实核心素养，发展学生个性。</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4.</w:t>
            </w:r>
            <w:r>
              <w:rPr>
                <w:rFonts w:hint="eastAsia" w:ascii="Times New Roman" w:hAnsi="Times New Roman" w:eastAsia="仿宋"/>
                <w:b/>
                <w:bCs/>
                <w:color w:val="000000"/>
                <w:kern w:val="0"/>
                <w:sz w:val="28"/>
                <w:szCs w:val="28"/>
              </w:rPr>
              <w:t>落实走班选课制度：</w:t>
            </w:r>
            <w:r>
              <w:rPr>
                <w:rFonts w:hint="eastAsia" w:ascii="Times New Roman" w:hAnsi="Times New Roman" w:eastAsia="仿宋"/>
                <w:color w:val="000000"/>
                <w:kern w:val="0"/>
                <w:sz w:val="28"/>
                <w:szCs w:val="28"/>
              </w:rPr>
              <w:t>根据国家和省有关课程改革的文件精神，落实开展分层分类选课走班制度。重视实践创新基地建设，充分利用社会资源为学生发展服务，形成多样化的教学模式。</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5.</w:t>
            </w:r>
            <w:r>
              <w:rPr>
                <w:rFonts w:hint="eastAsia" w:ascii="Times New Roman" w:hAnsi="Times New Roman" w:eastAsia="仿宋"/>
                <w:b/>
                <w:bCs/>
                <w:color w:val="000000"/>
                <w:kern w:val="0"/>
                <w:sz w:val="28"/>
                <w:szCs w:val="28"/>
              </w:rPr>
              <w:t>畅通个性化学习渠道：</w:t>
            </w:r>
            <w:r>
              <w:rPr>
                <w:rFonts w:hint="eastAsia" w:ascii="Times New Roman" w:hAnsi="Times New Roman" w:eastAsia="仿宋"/>
                <w:color w:val="000000"/>
                <w:kern w:val="0"/>
                <w:sz w:val="28"/>
                <w:szCs w:val="28"/>
              </w:rPr>
              <w:t>深化选择性学习理念，提升学生学习动力和学习兴趣，激发学生生活热情、自信心和进取心，提高学生自学能力、实践能力和独立思考的能力；学生能运用各种学习资源，通过团队合作、自主探究、社会实践等多种方式进行学习。</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6.</w:t>
            </w:r>
            <w:r>
              <w:rPr>
                <w:rFonts w:hint="eastAsia" w:ascii="Times New Roman" w:hAnsi="Times New Roman" w:eastAsia="仿宋"/>
                <w:b/>
                <w:bCs/>
                <w:color w:val="000000"/>
                <w:kern w:val="0"/>
                <w:sz w:val="28"/>
                <w:szCs w:val="28"/>
              </w:rPr>
              <w:t>创新学生学习评价机制：</w:t>
            </w:r>
            <w:r>
              <w:rPr>
                <w:rFonts w:hint="eastAsia" w:ascii="Times New Roman" w:hAnsi="Times New Roman" w:eastAsia="仿宋"/>
                <w:color w:val="000000"/>
                <w:kern w:val="0"/>
                <w:sz w:val="28"/>
                <w:szCs w:val="28"/>
              </w:rPr>
              <w:t>构建学教评相一致的评价机制，实施适合不同学生的教学策略，关注学困生学习行为与能力，帮扶学困生进步；学生评价制度体现促进不同层次学生发展，</w:t>
            </w:r>
            <w:r>
              <w:rPr>
                <w:rFonts w:ascii="Times New Roman" w:hAnsi="Times New Roman" w:eastAsia="仿宋"/>
                <w:color w:val="000000"/>
                <w:kern w:val="0"/>
                <w:sz w:val="28"/>
                <w:szCs w:val="28"/>
              </w:rPr>
              <w:t xml:space="preserve"> </w:t>
            </w:r>
            <w:r>
              <w:rPr>
                <w:rFonts w:hint="eastAsia" w:ascii="Times New Roman" w:hAnsi="Times New Roman" w:eastAsia="仿宋"/>
                <w:color w:val="000000"/>
                <w:kern w:val="0"/>
                <w:sz w:val="28"/>
                <w:szCs w:val="28"/>
              </w:rPr>
              <w:t>提高学生综合素质的原则。</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449" w:type="dxa"/>
            <w:vMerge w:val="restart"/>
            <w:vAlign w:val="center"/>
          </w:tcPr>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促进教</w:t>
            </w:r>
          </w:p>
          <w:p>
            <w:pPr>
              <w:widowControl/>
              <w:spacing w:line="360" w:lineRule="exact"/>
              <w:jc w:val="center"/>
              <w:rPr>
                <w:rFonts w:ascii="Times New Roman" w:hAnsi="Times New Roman" w:eastAsia="仿宋"/>
                <w:b/>
                <w:color w:val="000000"/>
                <w:kern w:val="0"/>
                <w:sz w:val="28"/>
                <w:szCs w:val="28"/>
              </w:rPr>
            </w:pPr>
            <w:r>
              <w:rPr>
                <w:rFonts w:hint="eastAsia" w:ascii="Times New Roman" w:hAnsi="Times New Roman" w:eastAsia="仿宋"/>
                <w:b/>
                <w:bCs/>
                <w:color w:val="000000"/>
                <w:kern w:val="0"/>
                <w:sz w:val="28"/>
                <w:szCs w:val="28"/>
              </w:rPr>
              <w:t>师成长</w:t>
            </w: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1.</w:t>
            </w:r>
            <w:r>
              <w:rPr>
                <w:rFonts w:hint="eastAsia" w:ascii="Times New Roman" w:hAnsi="Times New Roman" w:eastAsia="仿宋"/>
                <w:b/>
                <w:bCs/>
                <w:color w:val="000000"/>
                <w:kern w:val="0"/>
                <w:sz w:val="28"/>
                <w:szCs w:val="28"/>
              </w:rPr>
              <w:t>遵循“以师为本”的发展理念：</w:t>
            </w:r>
            <w:r>
              <w:rPr>
                <w:rFonts w:hint="eastAsia" w:ascii="Times New Roman" w:hAnsi="Times New Roman" w:eastAsia="仿宋"/>
                <w:color w:val="000000"/>
                <w:kern w:val="0"/>
                <w:sz w:val="28"/>
                <w:szCs w:val="28"/>
              </w:rPr>
              <w:t>根据“四有”要求，拓展教师视野，着力提升教师的理想信念和道德情感，打造有责任心和使命感的教师团队。</w:t>
            </w:r>
          </w:p>
        </w:tc>
        <w:tc>
          <w:tcPr>
            <w:tcW w:w="2100" w:type="dxa"/>
            <w:vMerge w:val="restart"/>
          </w:tcPr>
          <w:p>
            <w:pPr>
              <w:widowControl/>
              <w:spacing w:line="360" w:lineRule="exact"/>
              <w:jc w:val="left"/>
              <w:rPr>
                <w:rFonts w:ascii="Times New Roman" w:hAnsi="Times New Roman" w:eastAsia="仿宋"/>
                <w:color w:val="000000"/>
                <w:kern w:val="0"/>
                <w:sz w:val="28"/>
                <w:szCs w:val="28"/>
              </w:rPr>
            </w:pPr>
          </w:p>
        </w:tc>
        <w:tc>
          <w:tcPr>
            <w:tcW w:w="1800" w:type="dxa"/>
            <w:vMerge w:val="restart"/>
          </w:tcPr>
          <w:p>
            <w:pPr>
              <w:widowControl/>
              <w:spacing w:line="360" w:lineRule="exact"/>
              <w:jc w:val="left"/>
              <w:rPr>
                <w:rFonts w:ascii="Times New Roman" w:hAnsi="Times New Roman" w:eastAsia="仿宋"/>
                <w:color w:val="000000"/>
                <w:kern w:val="0"/>
                <w:sz w:val="28"/>
                <w:szCs w:val="28"/>
              </w:rPr>
            </w:pPr>
          </w:p>
        </w:tc>
        <w:tc>
          <w:tcPr>
            <w:tcW w:w="1035" w:type="dxa"/>
            <w:vMerge w:val="restart"/>
          </w:tcPr>
          <w:p>
            <w:pPr>
              <w:widowControl/>
              <w:spacing w:line="360" w:lineRule="exact"/>
              <w:jc w:val="left"/>
              <w:rPr>
                <w:rFonts w:ascii="Times New Roman" w:hAnsi="Times New Roman" w:eastAsia="仿宋"/>
                <w:color w:val="000000"/>
                <w:kern w:val="0"/>
                <w:sz w:val="28"/>
                <w:szCs w:val="28"/>
              </w:rPr>
            </w:pPr>
          </w:p>
        </w:tc>
        <w:tc>
          <w:tcPr>
            <w:tcW w:w="1200" w:type="dxa"/>
            <w:vMerge w:val="restart"/>
          </w:tcPr>
          <w:p>
            <w:pPr>
              <w:widowControl/>
              <w:spacing w:line="360" w:lineRule="exact"/>
              <w:jc w:val="left"/>
              <w:rPr>
                <w:rFonts w:ascii="Times New Roman" w:hAnsi="Times New Roman"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1449" w:type="dxa"/>
            <w:vMerge w:val="continue"/>
            <w:vAlign w:val="center"/>
          </w:tcPr>
          <w:p>
            <w:pPr>
              <w:widowControl/>
              <w:spacing w:line="360" w:lineRule="exact"/>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2.</w:t>
            </w:r>
            <w:r>
              <w:rPr>
                <w:rFonts w:hint="eastAsia" w:ascii="Times New Roman" w:hAnsi="Times New Roman" w:eastAsia="仿宋"/>
                <w:b/>
                <w:bCs/>
                <w:color w:val="000000"/>
                <w:kern w:val="0"/>
                <w:sz w:val="28"/>
                <w:szCs w:val="28"/>
              </w:rPr>
              <w:t>建立教师培养机制：</w:t>
            </w:r>
            <w:r>
              <w:rPr>
                <w:rFonts w:hint="eastAsia" w:ascii="Times New Roman" w:hAnsi="Times New Roman" w:eastAsia="仿宋"/>
                <w:color w:val="000000"/>
                <w:kern w:val="0"/>
                <w:sz w:val="28"/>
                <w:szCs w:val="28"/>
              </w:rPr>
              <w:t>根据不同层次教师专业发展需求，创设开放式的校本培训机制。中职学校非师范类专业新教师必须参加入职培训，完善教师下企业实践制度，确保下企业实践时间，打造“双师型”教师队伍。积极倡导教师开设网络空间，开展基于网络空间的网络研修共同体，促进教师成长。</w:t>
            </w:r>
          </w:p>
        </w:tc>
        <w:tc>
          <w:tcPr>
            <w:tcW w:w="2100" w:type="dxa"/>
            <w:vMerge w:val="continue"/>
          </w:tcPr>
          <w:p>
            <w:pPr>
              <w:widowControl/>
              <w:spacing w:line="360" w:lineRule="exact"/>
            </w:pPr>
          </w:p>
        </w:tc>
        <w:tc>
          <w:tcPr>
            <w:tcW w:w="1800" w:type="dxa"/>
            <w:vMerge w:val="continue"/>
          </w:tcPr>
          <w:p>
            <w:pPr>
              <w:widowControl/>
              <w:spacing w:line="360" w:lineRule="exact"/>
            </w:pPr>
          </w:p>
        </w:tc>
        <w:tc>
          <w:tcPr>
            <w:tcW w:w="1035" w:type="dxa"/>
            <w:vMerge w:val="continue"/>
          </w:tcPr>
          <w:p>
            <w:pPr>
              <w:widowControl/>
              <w:spacing w:line="360" w:lineRule="exact"/>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3.</w:t>
            </w:r>
            <w:r>
              <w:rPr>
                <w:rFonts w:hint="eastAsia" w:ascii="Times New Roman" w:hAnsi="Times New Roman" w:eastAsia="仿宋"/>
                <w:b/>
                <w:bCs/>
                <w:color w:val="000000"/>
                <w:kern w:val="0"/>
                <w:sz w:val="28"/>
                <w:szCs w:val="28"/>
              </w:rPr>
              <w:t>完善教师聘任和评价制度：</w:t>
            </w:r>
            <w:r>
              <w:rPr>
                <w:rFonts w:hint="eastAsia" w:ascii="Times New Roman" w:hAnsi="Times New Roman" w:eastAsia="仿宋"/>
                <w:color w:val="000000"/>
                <w:kern w:val="0"/>
                <w:sz w:val="28"/>
                <w:szCs w:val="28"/>
              </w:rPr>
              <w:t>建立教师成长档案，完善能够促进教师专业发展的评价机制。引导教师主动学习、研究和反思，促进教师职业道德和专业水平提高。</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4.</w:t>
            </w:r>
            <w:r>
              <w:rPr>
                <w:rFonts w:hint="eastAsia" w:ascii="Times New Roman" w:hAnsi="Times New Roman" w:eastAsia="仿宋"/>
                <w:b/>
                <w:bCs/>
                <w:color w:val="000000"/>
                <w:kern w:val="0"/>
                <w:sz w:val="28"/>
                <w:szCs w:val="28"/>
              </w:rPr>
              <w:t>提升教师教育科研水平：</w:t>
            </w:r>
            <w:r>
              <w:rPr>
                <w:rFonts w:hint="eastAsia" w:ascii="Times New Roman" w:hAnsi="Times New Roman" w:eastAsia="仿宋"/>
                <w:color w:val="000000"/>
                <w:kern w:val="0"/>
                <w:sz w:val="28"/>
                <w:szCs w:val="28"/>
              </w:rPr>
              <w:t>重视科研队伍建设，培养一批科研骨干；结合学校的教改实际和发展需求，重点课题研究全员参与，研究成果及时应用，切实推动教师成长。</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5.</w:t>
            </w:r>
            <w:r>
              <w:rPr>
                <w:rFonts w:hint="eastAsia" w:ascii="Times New Roman" w:hAnsi="Times New Roman" w:eastAsia="仿宋"/>
                <w:b/>
                <w:bCs/>
                <w:color w:val="000000"/>
                <w:kern w:val="0"/>
                <w:sz w:val="28"/>
                <w:szCs w:val="28"/>
              </w:rPr>
              <w:t>建立教师发展学校：</w:t>
            </w:r>
            <w:r>
              <w:rPr>
                <w:rFonts w:hint="eastAsia" w:ascii="Times New Roman" w:hAnsi="Times New Roman" w:eastAsia="仿宋"/>
                <w:bCs/>
                <w:color w:val="000000"/>
                <w:kern w:val="0"/>
                <w:sz w:val="28"/>
                <w:szCs w:val="28"/>
              </w:rPr>
              <w:t>学校主动为师范生提供教育实践场所，选派优秀指导老师，对师范生进行协同培养。按要求组织教师参与培训学习，积极与高等学校合作，建立能够促进教师专业培养和培训的教学研共同体。</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1449" w:type="dxa"/>
            <w:vMerge w:val="restart"/>
            <w:vAlign w:val="center"/>
          </w:tcPr>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培育学</w:t>
            </w:r>
          </w:p>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校文化</w:t>
            </w: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1.</w:t>
            </w:r>
            <w:r>
              <w:rPr>
                <w:rFonts w:hint="eastAsia" w:ascii="Times New Roman" w:hAnsi="Times New Roman" w:eastAsia="仿宋"/>
                <w:b/>
                <w:bCs/>
                <w:color w:val="000000"/>
                <w:kern w:val="0"/>
                <w:sz w:val="28"/>
                <w:szCs w:val="28"/>
              </w:rPr>
              <w:t>实施“文化立校”的发展战略，构建良好育人环境：</w:t>
            </w:r>
            <w:r>
              <w:rPr>
                <w:rFonts w:hint="eastAsia" w:ascii="Times New Roman" w:hAnsi="Times New Roman" w:eastAsia="仿宋"/>
                <w:bCs/>
                <w:color w:val="000000"/>
                <w:kern w:val="0"/>
                <w:sz w:val="28"/>
                <w:szCs w:val="28"/>
              </w:rPr>
              <w:t>学校环境舒适优美，文化氛围浓厚，环境育人功能得到发挥。学校注重文化传承与创新，能体现学校办学目标和校训中所倡导的核心价值观。师生员工、家长、社会对学校的办学理念与价值追求认可度高，并积极参与学校文化建设。</w:t>
            </w:r>
          </w:p>
        </w:tc>
        <w:tc>
          <w:tcPr>
            <w:tcW w:w="2100" w:type="dxa"/>
            <w:vMerge w:val="restart"/>
          </w:tcPr>
          <w:p>
            <w:pPr>
              <w:spacing w:line="360" w:lineRule="exact"/>
              <w:jc w:val="left"/>
              <w:rPr>
                <w:rFonts w:ascii="Times New Roman" w:hAnsi="Times New Roman" w:eastAsia="仿宋"/>
                <w:color w:val="000000"/>
                <w:kern w:val="0"/>
                <w:sz w:val="28"/>
                <w:szCs w:val="28"/>
              </w:rPr>
            </w:pPr>
          </w:p>
        </w:tc>
        <w:tc>
          <w:tcPr>
            <w:tcW w:w="1800" w:type="dxa"/>
            <w:vMerge w:val="restart"/>
          </w:tcPr>
          <w:p>
            <w:pPr>
              <w:spacing w:line="360" w:lineRule="exact"/>
              <w:jc w:val="left"/>
              <w:rPr>
                <w:rFonts w:ascii="Times New Roman" w:hAnsi="Times New Roman" w:eastAsia="仿宋"/>
                <w:color w:val="000000"/>
                <w:kern w:val="0"/>
                <w:sz w:val="28"/>
                <w:szCs w:val="28"/>
              </w:rPr>
            </w:pPr>
          </w:p>
        </w:tc>
        <w:tc>
          <w:tcPr>
            <w:tcW w:w="1035" w:type="dxa"/>
            <w:vMerge w:val="restart"/>
          </w:tcPr>
          <w:p>
            <w:pPr>
              <w:spacing w:line="360" w:lineRule="exact"/>
              <w:jc w:val="left"/>
              <w:rPr>
                <w:rFonts w:ascii="Times New Roman" w:hAnsi="Times New Roman" w:eastAsia="仿宋"/>
                <w:color w:val="000000"/>
                <w:kern w:val="0"/>
                <w:sz w:val="28"/>
                <w:szCs w:val="28"/>
              </w:rPr>
            </w:pPr>
          </w:p>
        </w:tc>
        <w:tc>
          <w:tcPr>
            <w:tcW w:w="1200" w:type="dxa"/>
            <w:vMerge w:val="restart"/>
          </w:tcPr>
          <w:p>
            <w:pPr>
              <w:spacing w:line="360" w:lineRule="exact"/>
              <w:jc w:val="left"/>
              <w:rPr>
                <w:rFonts w:ascii="Times New Roman" w:hAnsi="Times New Roman"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1449" w:type="dxa"/>
            <w:vMerge w:val="continue"/>
            <w:vAlign w:val="center"/>
          </w:tcPr>
          <w:p>
            <w:pPr>
              <w:widowControl/>
              <w:spacing w:line="360" w:lineRule="exact"/>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2.</w:t>
            </w:r>
            <w:r>
              <w:rPr>
                <w:rFonts w:hint="eastAsia" w:ascii="Times New Roman" w:hAnsi="Times New Roman" w:eastAsia="仿宋"/>
                <w:b/>
                <w:bCs/>
                <w:color w:val="000000"/>
                <w:kern w:val="0"/>
                <w:sz w:val="28"/>
                <w:szCs w:val="28"/>
              </w:rPr>
              <w:t>制定学校文化建设方案，重视方案实施：</w:t>
            </w:r>
            <w:r>
              <w:rPr>
                <w:rFonts w:hint="eastAsia" w:ascii="Times New Roman" w:hAnsi="Times New Roman" w:eastAsia="仿宋"/>
                <w:color w:val="000000"/>
                <w:kern w:val="0"/>
                <w:sz w:val="28"/>
                <w:szCs w:val="28"/>
              </w:rPr>
              <w:t>专门制定学校文化建设方案或在学校发展规划中有学校文化建设的具体内容。通过一系列文化载体创建与制度创新，使学校文化活动主题鲜明、内容丰富、全员参与。</w:t>
            </w:r>
          </w:p>
        </w:tc>
        <w:tc>
          <w:tcPr>
            <w:tcW w:w="2100" w:type="dxa"/>
            <w:vMerge w:val="continue"/>
          </w:tcPr>
          <w:p>
            <w:pPr>
              <w:widowControl/>
              <w:spacing w:line="360" w:lineRule="exact"/>
            </w:pPr>
          </w:p>
        </w:tc>
        <w:tc>
          <w:tcPr>
            <w:tcW w:w="1800" w:type="dxa"/>
            <w:vMerge w:val="continue"/>
          </w:tcPr>
          <w:p>
            <w:pPr>
              <w:widowControl/>
              <w:spacing w:line="360" w:lineRule="exact"/>
            </w:pPr>
          </w:p>
        </w:tc>
        <w:tc>
          <w:tcPr>
            <w:tcW w:w="1035" w:type="dxa"/>
            <w:vMerge w:val="continue"/>
          </w:tcPr>
          <w:p>
            <w:pPr>
              <w:widowControl/>
              <w:spacing w:line="360" w:lineRule="exact"/>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3.</w:t>
            </w:r>
            <w:r>
              <w:rPr>
                <w:rFonts w:hint="eastAsia" w:ascii="Times New Roman" w:hAnsi="Times New Roman" w:eastAsia="仿宋"/>
                <w:b/>
                <w:bCs/>
                <w:color w:val="000000"/>
                <w:kern w:val="0"/>
                <w:sz w:val="28"/>
                <w:szCs w:val="28"/>
              </w:rPr>
              <w:t>与社区（会）、家庭共建学校文化：</w:t>
            </w:r>
            <w:r>
              <w:rPr>
                <w:rFonts w:hint="eastAsia" w:ascii="Times New Roman" w:hAnsi="Times New Roman" w:eastAsia="仿宋"/>
                <w:color w:val="000000"/>
                <w:kern w:val="0"/>
                <w:sz w:val="28"/>
                <w:szCs w:val="28"/>
              </w:rPr>
              <w:t>重视学习型组织建设，创设和谐的育人环境。学校与社区（会）、家庭联系紧密。充分挖掘社区或社会教育资源，开展育人活动。形成家校互动紧密，关系和谐，认同度高的系统育人环境。中职学校要与行业企业共建学校文化。</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1449" w:type="dxa"/>
            <w:vMerge w:val="restart"/>
            <w:vAlign w:val="center"/>
          </w:tcPr>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提升治</w:t>
            </w:r>
          </w:p>
          <w:p>
            <w:pPr>
              <w:widowControl/>
              <w:spacing w:line="360" w:lineRule="exact"/>
              <w:jc w:val="center"/>
              <w:rPr>
                <w:rFonts w:ascii="Times New Roman" w:hAnsi="Times New Roman" w:eastAsia="仿宋"/>
                <w:b/>
                <w:color w:val="000000"/>
                <w:kern w:val="0"/>
                <w:sz w:val="28"/>
                <w:szCs w:val="28"/>
              </w:rPr>
            </w:pPr>
            <w:r>
              <w:rPr>
                <w:rFonts w:hint="eastAsia" w:ascii="Times New Roman" w:hAnsi="Times New Roman" w:eastAsia="仿宋"/>
                <w:b/>
                <w:bCs/>
                <w:color w:val="000000"/>
                <w:kern w:val="0"/>
                <w:sz w:val="28"/>
                <w:szCs w:val="28"/>
              </w:rPr>
              <w:t>理能力</w:t>
            </w: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1.</w:t>
            </w:r>
            <w:r>
              <w:rPr>
                <w:rFonts w:hint="eastAsia" w:ascii="Times New Roman" w:hAnsi="Times New Roman" w:eastAsia="仿宋"/>
                <w:b/>
                <w:bCs/>
                <w:color w:val="000000"/>
                <w:kern w:val="0"/>
                <w:sz w:val="28"/>
                <w:szCs w:val="28"/>
              </w:rPr>
              <w:t>学校教育治理体系和治理能力的现代化建设：</w:t>
            </w:r>
            <w:r>
              <w:rPr>
                <w:rFonts w:hint="eastAsia" w:ascii="Times New Roman" w:hAnsi="Times New Roman" w:eastAsia="仿宋"/>
                <w:color w:val="000000"/>
                <w:kern w:val="0"/>
                <w:sz w:val="28"/>
                <w:szCs w:val="28"/>
              </w:rPr>
              <w:t>重视提升规范管理、人本管理，依托信息技术推进精准管理，创新管理方式。中职学校要逐步建立教学工作诊断与改进制度，不断完善内部质量保障体系和运行机制，完善教学管理流程。</w:t>
            </w:r>
          </w:p>
        </w:tc>
        <w:tc>
          <w:tcPr>
            <w:tcW w:w="2100" w:type="dxa"/>
            <w:vMerge w:val="restart"/>
          </w:tcPr>
          <w:p>
            <w:pPr>
              <w:widowControl/>
              <w:spacing w:line="360" w:lineRule="exact"/>
              <w:jc w:val="left"/>
              <w:rPr>
                <w:rFonts w:ascii="Times New Roman" w:hAnsi="Times New Roman" w:eastAsia="仿宋"/>
                <w:color w:val="000000"/>
                <w:kern w:val="0"/>
                <w:sz w:val="28"/>
                <w:szCs w:val="28"/>
              </w:rPr>
            </w:pPr>
          </w:p>
        </w:tc>
        <w:tc>
          <w:tcPr>
            <w:tcW w:w="1800" w:type="dxa"/>
            <w:vMerge w:val="restart"/>
          </w:tcPr>
          <w:p>
            <w:pPr>
              <w:widowControl/>
              <w:spacing w:line="360" w:lineRule="exact"/>
              <w:jc w:val="left"/>
              <w:rPr>
                <w:rFonts w:ascii="Times New Roman" w:hAnsi="Times New Roman" w:eastAsia="仿宋"/>
                <w:color w:val="000000"/>
                <w:kern w:val="0"/>
                <w:sz w:val="28"/>
                <w:szCs w:val="28"/>
              </w:rPr>
            </w:pPr>
          </w:p>
        </w:tc>
        <w:tc>
          <w:tcPr>
            <w:tcW w:w="1035" w:type="dxa"/>
            <w:vMerge w:val="restart"/>
          </w:tcPr>
          <w:p>
            <w:pPr>
              <w:widowControl/>
              <w:spacing w:line="360" w:lineRule="exact"/>
              <w:jc w:val="left"/>
              <w:rPr>
                <w:rFonts w:ascii="Times New Roman" w:hAnsi="Times New Roman" w:eastAsia="仿宋"/>
                <w:color w:val="000000"/>
                <w:kern w:val="0"/>
                <w:sz w:val="28"/>
                <w:szCs w:val="28"/>
              </w:rPr>
            </w:pPr>
          </w:p>
        </w:tc>
        <w:tc>
          <w:tcPr>
            <w:tcW w:w="1200" w:type="dxa"/>
            <w:vMerge w:val="restart"/>
          </w:tcPr>
          <w:p>
            <w:pPr>
              <w:widowControl/>
              <w:spacing w:line="360" w:lineRule="exact"/>
              <w:jc w:val="left"/>
              <w:rPr>
                <w:rFonts w:ascii="Times New Roman" w:hAnsi="Times New Roman"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1449" w:type="dxa"/>
            <w:vMerge w:val="continue"/>
            <w:vAlign w:val="center"/>
          </w:tcPr>
          <w:p>
            <w:pPr>
              <w:widowControl/>
              <w:spacing w:line="360" w:lineRule="exact"/>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2.</w:t>
            </w:r>
            <w:r>
              <w:rPr>
                <w:rFonts w:hint="eastAsia" w:ascii="Times New Roman" w:hAnsi="Times New Roman" w:eastAsia="仿宋"/>
                <w:b/>
                <w:bCs/>
                <w:color w:val="000000"/>
                <w:kern w:val="0"/>
                <w:sz w:val="28"/>
                <w:szCs w:val="28"/>
              </w:rPr>
              <w:t>提升校长的领导力：</w:t>
            </w:r>
            <w:r>
              <w:rPr>
                <w:rFonts w:hint="eastAsia" w:ascii="Times New Roman" w:hAnsi="Times New Roman" w:eastAsia="仿宋"/>
                <w:color w:val="000000"/>
                <w:kern w:val="0"/>
                <w:sz w:val="28"/>
                <w:szCs w:val="28"/>
              </w:rPr>
              <w:t>校长具有较强的领导力和专业能力，能有效领导学校管理和课程教学；具有较深的教育情怀和人格魅力，以人为本，以身作则，在师生员工中威信高。</w:t>
            </w:r>
          </w:p>
        </w:tc>
        <w:tc>
          <w:tcPr>
            <w:tcW w:w="2100" w:type="dxa"/>
            <w:vMerge w:val="continue"/>
          </w:tcPr>
          <w:p>
            <w:pPr>
              <w:widowControl/>
              <w:spacing w:line="360" w:lineRule="exact"/>
            </w:pPr>
          </w:p>
        </w:tc>
        <w:tc>
          <w:tcPr>
            <w:tcW w:w="1800" w:type="dxa"/>
            <w:vMerge w:val="continue"/>
          </w:tcPr>
          <w:p>
            <w:pPr>
              <w:widowControl/>
              <w:spacing w:line="360" w:lineRule="exact"/>
            </w:pPr>
          </w:p>
        </w:tc>
        <w:tc>
          <w:tcPr>
            <w:tcW w:w="1035" w:type="dxa"/>
            <w:vMerge w:val="continue"/>
          </w:tcPr>
          <w:p>
            <w:pPr>
              <w:widowControl/>
              <w:spacing w:line="360" w:lineRule="exact"/>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3.</w:t>
            </w:r>
            <w:r>
              <w:rPr>
                <w:rFonts w:hint="eastAsia" w:ascii="Times New Roman" w:hAnsi="Times New Roman" w:eastAsia="仿宋"/>
                <w:b/>
                <w:bCs/>
                <w:color w:val="000000"/>
                <w:kern w:val="0"/>
                <w:sz w:val="28"/>
                <w:szCs w:val="28"/>
              </w:rPr>
              <w:t>提升领导班子的战斗力：</w:t>
            </w:r>
            <w:r>
              <w:rPr>
                <w:rFonts w:hint="eastAsia" w:ascii="Times New Roman" w:hAnsi="Times New Roman" w:eastAsia="仿宋"/>
                <w:color w:val="000000"/>
                <w:kern w:val="0"/>
                <w:sz w:val="28"/>
                <w:szCs w:val="28"/>
              </w:rPr>
              <w:t>领导班子富有教育理想与追求，职业道德高尚，社会责任感强；勇于改革创新，善于反思进取；思想活跃、视野开阔，形成学习型团队。</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4.</w:t>
            </w:r>
            <w:r>
              <w:rPr>
                <w:rFonts w:hint="eastAsia" w:ascii="Times New Roman" w:hAnsi="Times New Roman" w:eastAsia="仿宋"/>
                <w:b/>
                <w:bCs/>
                <w:color w:val="000000"/>
                <w:kern w:val="0"/>
                <w:sz w:val="28"/>
                <w:szCs w:val="28"/>
              </w:rPr>
              <w:t>提升管理团队的凝聚力：</w:t>
            </w:r>
            <w:r>
              <w:rPr>
                <w:rFonts w:hint="eastAsia" w:ascii="Times New Roman" w:hAnsi="Times New Roman" w:eastAsia="仿宋"/>
                <w:color w:val="000000"/>
                <w:kern w:val="0"/>
                <w:sz w:val="28"/>
                <w:szCs w:val="28"/>
              </w:rPr>
              <w:t>管理团队作风务实，执行力强；部门沟通协作良好，运转效能显著；师生员工满意度高。</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449" w:type="dxa"/>
            <w:vMerge w:val="restart"/>
            <w:vAlign w:val="center"/>
          </w:tcPr>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健全保</w:t>
            </w:r>
          </w:p>
          <w:p>
            <w:pPr>
              <w:widowControl/>
              <w:spacing w:line="360" w:lineRule="exact"/>
              <w:jc w:val="center"/>
              <w:rPr>
                <w:rFonts w:ascii="Times New Roman" w:hAnsi="Times New Roman" w:eastAsia="仿宋"/>
                <w:b/>
                <w:color w:val="000000"/>
                <w:kern w:val="0"/>
                <w:sz w:val="28"/>
                <w:szCs w:val="28"/>
              </w:rPr>
            </w:pPr>
            <w:r>
              <w:rPr>
                <w:rFonts w:hint="eastAsia" w:ascii="Times New Roman" w:hAnsi="Times New Roman" w:eastAsia="仿宋"/>
                <w:b/>
                <w:bCs/>
                <w:color w:val="000000"/>
                <w:kern w:val="0"/>
                <w:sz w:val="28"/>
                <w:szCs w:val="28"/>
              </w:rPr>
              <w:t>障机制</w:t>
            </w: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color w:val="000000"/>
                <w:kern w:val="0"/>
                <w:sz w:val="28"/>
                <w:szCs w:val="28"/>
              </w:rPr>
              <w:t>1.</w:t>
            </w:r>
            <w:r>
              <w:rPr>
                <w:rFonts w:hint="eastAsia" w:ascii="Times New Roman" w:hAnsi="Times New Roman" w:eastAsia="仿宋"/>
                <w:b/>
                <w:color w:val="000000"/>
                <w:kern w:val="0"/>
                <w:sz w:val="28"/>
                <w:szCs w:val="28"/>
              </w:rPr>
              <w:t>推进现代学校制度：</w:t>
            </w:r>
            <w:r>
              <w:rPr>
                <w:rFonts w:hint="eastAsia" w:ascii="Times New Roman" w:hAnsi="Times New Roman" w:eastAsia="仿宋"/>
                <w:color w:val="000000"/>
                <w:kern w:val="0"/>
                <w:sz w:val="28"/>
                <w:szCs w:val="28"/>
              </w:rPr>
              <w:t>积极探索现代学校的制度创新，促进学校、教师、学生共同成长。</w:t>
            </w:r>
          </w:p>
        </w:tc>
        <w:tc>
          <w:tcPr>
            <w:tcW w:w="2100" w:type="dxa"/>
            <w:vMerge w:val="restart"/>
          </w:tcPr>
          <w:p>
            <w:pPr>
              <w:widowControl/>
              <w:spacing w:line="360" w:lineRule="exact"/>
              <w:jc w:val="left"/>
              <w:rPr>
                <w:rFonts w:ascii="Times New Roman" w:hAnsi="Times New Roman" w:eastAsia="仿宋"/>
                <w:color w:val="000000"/>
                <w:kern w:val="0"/>
                <w:sz w:val="28"/>
                <w:szCs w:val="28"/>
              </w:rPr>
            </w:pPr>
          </w:p>
        </w:tc>
        <w:tc>
          <w:tcPr>
            <w:tcW w:w="1800" w:type="dxa"/>
            <w:vMerge w:val="restart"/>
          </w:tcPr>
          <w:p>
            <w:pPr>
              <w:widowControl/>
              <w:spacing w:line="360" w:lineRule="exact"/>
              <w:jc w:val="left"/>
              <w:rPr>
                <w:rFonts w:ascii="Times New Roman" w:hAnsi="Times New Roman" w:eastAsia="仿宋"/>
                <w:color w:val="000000"/>
                <w:kern w:val="0"/>
                <w:sz w:val="28"/>
                <w:szCs w:val="28"/>
              </w:rPr>
            </w:pPr>
          </w:p>
        </w:tc>
        <w:tc>
          <w:tcPr>
            <w:tcW w:w="1035" w:type="dxa"/>
            <w:vMerge w:val="restart"/>
          </w:tcPr>
          <w:p>
            <w:pPr>
              <w:widowControl/>
              <w:spacing w:line="360" w:lineRule="exact"/>
              <w:jc w:val="left"/>
              <w:rPr>
                <w:rFonts w:ascii="Times New Roman" w:hAnsi="Times New Roman" w:eastAsia="仿宋"/>
                <w:color w:val="000000"/>
                <w:kern w:val="0"/>
                <w:sz w:val="28"/>
                <w:szCs w:val="28"/>
              </w:rPr>
            </w:pPr>
          </w:p>
        </w:tc>
        <w:tc>
          <w:tcPr>
            <w:tcW w:w="1200" w:type="dxa"/>
            <w:vMerge w:val="restart"/>
          </w:tcPr>
          <w:p>
            <w:pPr>
              <w:widowControl/>
              <w:spacing w:line="360" w:lineRule="exact"/>
              <w:jc w:val="left"/>
              <w:rPr>
                <w:rFonts w:ascii="Times New Roman" w:hAnsi="Times New Roman"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1449" w:type="dxa"/>
            <w:vMerge w:val="continue"/>
            <w:vAlign w:val="center"/>
          </w:tcPr>
          <w:p>
            <w:pPr>
              <w:widowControl/>
              <w:spacing w:line="360" w:lineRule="exact"/>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2.</w:t>
            </w:r>
            <w:r>
              <w:rPr>
                <w:rFonts w:hint="eastAsia" w:ascii="Times New Roman" w:hAnsi="Times New Roman" w:eastAsia="仿宋"/>
                <w:b/>
                <w:bCs/>
                <w:color w:val="000000"/>
                <w:kern w:val="0"/>
                <w:sz w:val="28"/>
                <w:szCs w:val="28"/>
              </w:rPr>
              <w:t>形成现代学校管理特色：</w:t>
            </w:r>
            <w:r>
              <w:rPr>
                <w:rFonts w:hint="eastAsia" w:ascii="Times New Roman" w:hAnsi="Times New Roman" w:eastAsia="仿宋"/>
                <w:color w:val="000000"/>
                <w:kern w:val="0"/>
                <w:sz w:val="28"/>
                <w:szCs w:val="28"/>
              </w:rPr>
              <w:t>学校管理方式民主、务实、科学、高效，管理制度健全、完善，体现现代办学理念，符合现代教育管理思想。</w:t>
            </w:r>
          </w:p>
        </w:tc>
        <w:tc>
          <w:tcPr>
            <w:tcW w:w="2100" w:type="dxa"/>
            <w:vMerge w:val="continue"/>
          </w:tcPr>
          <w:p>
            <w:pPr>
              <w:widowControl/>
              <w:spacing w:line="360" w:lineRule="exact"/>
            </w:pPr>
          </w:p>
        </w:tc>
        <w:tc>
          <w:tcPr>
            <w:tcW w:w="1800" w:type="dxa"/>
            <w:vMerge w:val="continue"/>
          </w:tcPr>
          <w:p>
            <w:pPr>
              <w:widowControl/>
              <w:spacing w:line="360" w:lineRule="exact"/>
            </w:pPr>
          </w:p>
        </w:tc>
        <w:tc>
          <w:tcPr>
            <w:tcW w:w="1035" w:type="dxa"/>
            <w:vMerge w:val="continue"/>
          </w:tcPr>
          <w:p>
            <w:pPr>
              <w:widowControl/>
              <w:spacing w:line="360" w:lineRule="exact"/>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3.</w:t>
            </w:r>
            <w:r>
              <w:rPr>
                <w:rFonts w:hint="eastAsia" w:ascii="Times New Roman" w:hAnsi="Times New Roman" w:eastAsia="仿宋"/>
                <w:b/>
                <w:bCs/>
                <w:color w:val="000000"/>
                <w:kern w:val="0"/>
                <w:sz w:val="28"/>
                <w:szCs w:val="28"/>
              </w:rPr>
              <w:t>构建学校自查自评机制：</w:t>
            </w:r>
            <w:r>
              <w:rPr>
                <w:rFonts w:hint="eastAsia" w:ascii="Times New Roman" w:hAnsi="Times New Roman" w:eastAsia="仿宋"/>
                <w:color w:val="000000"/>
                <w:kern w:val="0"/>
                <w:sz w:val="28"/>
                <w:szCs w:val="28"/>
              </w:rPr>
              <w:t>周期性地进行学校综合自评，建立自我反思、自我完善、自我发展的内在机制。</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4.</w:t>
            </w:r>
            <w:r>
              <w:rPr>
                <w:rFonts w:hint="eastAsia" w:ascii="Times New Roman" w:hAnsi="Times New Roman" w:eastAsia="仿宋"/>
                <w:b/>
                <w:bCs/>
                <w:color w:val="000000"/>
                <w:kern w:val="0"/>
                <w:sz w:val="28"/>
                <w:szCs w:val="28"/>
              </w:rPr>
              <w:t>建立社会监督评价制度：</w:t>
            </w:r>
            <w:r>
              <w:rPr>
                <w:rFonts w:hint="eastAsia" w:ascii="Times New Roman" w:hAnsi="Times New Roman" w:eastAsia="仿宋"/>
                <w:color w:val="000000"/>
                <w:kern w:val="0"/>
                <w:sz w:val="28"/>
                <w:szCs w:val="28"/>
              </w:rPr>
              <w:t>建立社区、家长参与学校工作的监督、评价制度。</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5.</w:t>
            </w:r>
            <w:r>
              <w:rPr>
                <w:rFonts w:hint="eastAsia" w:ascii="Times New Roman" w:hAnsi="Times New Roman" w:eastAsia="仿宋"/>
                <w:b/>
                <w:bCs/>
                <w:color w:val="000000"/>
                <w:kern w:val="0"/>
                <w:sz w:val="28"/>
                <w:szCs w:val="28"/>
              </w:rPr>
              <w:t>创建未来课堂环境：</w:t>
            </w:r>
            <w:r>
              <w:rPr>
                <w:rFonts w:hint="eastAsia" w:ascii="Times New Roman" w:hAnsi="Times New Roman" w:eastAsia="仿宋"/>
                <w:color w:val="000000"/>
                <w:kern w:val="0"/>
                <w:sz w:val="28"/>
                <w:szCs w:val="28"/>
              </w:rPr>
              <w:t>建设支持学生个性化学习平台，包括资源库、专用教室、技术环境、学习平台以及应用软件。</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49" w:type="dxa"/>
            <w:vMerge w:val="restart"/>
            <w:vAlign w:val="center"/>
          </w:tcPr>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打造特</w:t>
            </w:r>
          </w:p>
          <w:p>
            <w:pPr>
              <w:widowControl/>
              <w:spacing w:line="360" w:lineRule="exact"/>
              <w:jc w:val="center"/>
              <w:rPr>
                <w:rFonts w:ascii="Times New Roman" w:hAnsi="Times New Roman" w:eastAsia="仿宋"/>
                <w:b/>
                <w:color w:val="000000"/>
                <w:kern w:val="0"/>
                <w:sz w:val="28"/>
                <w:szCs w:val="28"/>
              </w:rPr>
            </w:pPr>
            <w:r>
              <w:rPr>
                <w:rFonts w:hint="eastAsia" w:ascii="Times New Roman" w:hAnsi="Times New Roman" w:eastAsia="仿宋"/>
                <w:b/>
                <w:bCs/>
                <w:color w:val="000000"/>
                <w:kern w:val="0"/>
                <w:sz w:val="28"/>
                <w:szCs w:val="28"/>
              </w:rPr>
              <w:t>色品牌</w:t>
            </w: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1.</w:t>
            </w:r>
            <w:r>
              <w:rPr>
                <w:rFonts w:hint="eastAsia" w:ascii="Times New Roman" w:hAnsi="Times New Roman" w:eastAsia="仿宋"/>
                <w:b/>
                <w:bCs/>
                <w:color w:val="000000"/>
                <w:kern w:val="0"/>
                <w:sz w:val="28"/>
                <w:szCs w:val="28"/>
              </w:rPr>
              <w:t>重视培育特色方案的设计与实施：</w:t>
            </w:r>
            <w:r>
              <w:rPr>
                <w:rFonts w:hint="eastAsia" w:ascii="Times New Roman" w:hAnsi="Times New Roman" w:eastAsia="仿宋"/>
                <w:color w:val="000000"/>
                <w:kern w:val="0"/>
                <w:sz w:val="28"/>
                <w:szCs w:val="28"/>
              </w:rPr>
              <w:t>学校特色建设方案科学，目标凝练，路径清晰，策略得当，任务明确，措施有力，切合办学理念与校情，赢得师生员工广泛认同和大力支持；方案实施纳入学校全局工作之中，有年度特色培育计划，师生全员参与。</w:t>
            </w:r>
          </w:p>
        </w:tc>
        <w:tc>
          <w:tcPr>
            <w:tcW w:w="2100" w:type="dxa"/>
            <w:vMerge w:val="restart"/>
          </w:tcPr>
          <w:p>
            <w:pPr>
              <w:widowControl/>
              <w:spacing w:line="360" w:lineRule="exact"/>
              <w:jc w:val="left"/>
              <w:rPr>
                <w:rFonts w:ascii="Times New Roman" w:hAnsi="Times New Roman" w:eastAsia="仿宋"/>
                <w:color w:val="000000"/>
                <w:kern w:val="0"/>
                <w:sz w:val="28"/>
                <w:szCs w:val="28"/>
              </w:rPr>
            </w:pPr>
          </w:p>
        </w:tc>
        <w:tc>
          <w:tcPr>
            <w:tcW w:w="1800" w:type="dxa"/>
            <w:vMerge w:val="restart"/>
          </w:tcPr>
          <w:p>
            <w:pPr>
              <w:widowControl/>
              <w:spacing w:line="360" w:lineRule="exact"/>
              <w:jc w:val="left"/>
              <w:rPr>
                <w:rFonts w:ascii="Times New Roman" w:hAnsi="Times New Roman" w:eastAsia="仿宋"/>
                <w:color w:val="000000"/>
                <w:kern w:val="0"/>
                <w:sz w:val="28"/>
                <w:szCs w:val="28"/>
              </w:rPr>
            </w:pPr>
          </w:p>
        </w:tc>
        <w:tc>
          <w:tcPr>
            <w:tcW w:w="1035" w:type="dxa"/>
            <w:vMerge w:val="restart"/>
          </w:tcPr>
          <w:p>
            <w:pPr>
              <w:widowControl/>
              <w:spacing w:line="360" w:lineRule="exact"/>
              <w:jc w:val="left"/>
              <w:rPr>
                <w:rFonts w:ascii="Times New Roman" w:hAnsi="Times New Roman" w:eastAsia="仿宋"/>
                <w:color w:val="000000"/>
                <w:kern w:val="0"/>
                <w:sz w:val="28"/>
                <w:szCs w:val="28"/>
              </w:rPr>
            </w:pPr>
          </w:p>
        </w:tc>
        <w:tc>
          <w:tcPr>
            <w:tcW w:w="1200" w:type="dxa"/>
            <w:vMerge w:val="restart"/>
          </w:tcPr>
          <w:p>
            <w:pPr>
              <w:widowControl/>
              <w:spacing w:line="360" w:lineRule="exact"/>
              <w:jc w:val="left"/>
              <w:rPr>
                <w:rFonts w:ascii="Times New Roman" w:hAnsi="Times New Roman"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49" w:type="dxa"/>
            <w:vMerge w:val="continue"/>
            <w:vAlign w:val="center"/>
          </w:tcPr>
          <w:p>
            <w:pPr>
              <w:widowControl/>
              <w:spacing w:line="360" w:lineRule="exact"/>
              <w:jc w:val="left"/>
            </w:pPr>
          </w:p>
        </w:tc>
        <w:tc>
          <w:tcPr>
            <w:tcW w:w="7066" w:type="dxa"/>
            <w:vAlign w:val="center"/>
          </w:tcPr>
          <w:p>
            <w:pPr>
              <w:widowControl/>
              <w:spacing w:line="360" w:lineRule="exact"/>
              <w:jc w:val="lef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2.</w:t>
            </w:r>
            <w:r>
              <w:rPr>
                <w:rFonts w:hint="eastAsia" w:ascii="Times New Roman" w:hAnsi="Times New Roman" w:eastAsia="仿宋"/>
                <w:b/>
                <w:bCs/>
                <w:color w:val="000000"/>
                <w:kern w:val="0"/>
                <w:sz w:val="28"/>
                <w:szCs w:val="28"/>
              </w:rPr>
              <w:t>重视特色文化的引领和激励：</w:t>
            </w:r>
            <w:r>
              <w:rPr>
                <w:rFonts w:hint="eastAsia" w:ascii="Times New Roman" w:hAnsi="Times New Roman" w:eastAsia="仿宋"/>
                <w:color w:val="000000"/>
                <w:kern w:val="0"/>
                <w:sz w:val="28"/>
                <w:szCs w:val="28"/>
              </w:rPr>
              <w:t>聚焦学校特色发展的价值追求与学校发展过程中形成的优势，重视文化的传承与创新，凝聚共识，激发动力，提升学校特色发展的自觉性、主动性与创造性，通过文化特色彰显办学特色。</w:t>
            </w:r>
          </w:p>
        </w:tc>
        <w:tc>
          <w:tcPr>
            <w:tcW w:w="2100" w:type="dxa"/>
            <w:vMerge w:val="continue"/>
          </w:tcPr>
          <w:p>
            <w:pPr>
              <w:widowControl/>
              <w:spacing w:line="360" w:lineRule="exact"/>
              <w:jc w:val="left"/>
            </w:pPr>
          </w:p>
        </w:tc>
        <w:tc>
          <w:tcPr>
            <w:tcW w:w="1800" w:type="dxa"/>
            <w:vMerge w:val="continue"/>
          </w:tcPr>
          <w:p>
            <w:pPr>
              <w:widowControl/>
              <w:spacing w:line="360" w:lineRule="exact"/>
              <w:jc w:val="left"/>
            </w:pPr>
          </w:p>
        </w:tc>
        <w:tc>
          <w:tcPr>
            <w:tcW w:w="1035" w:type="dxa"/>
            <w:vMerge w:val="continue"/>
          </w:tcPr>
          <w:p>
            <w:pPr>
              <w:widowControl/>
              <w:spacing w:line="360" w:lineRule="exact"/>
              <w:jc w:val="left"/>
            </w:pPr>
          </w:p>
        </w:tc>
        <w:tc>
          <w:tcPr>
            <w:tcW w:w="1200" w:type="dxa"/>
            <w:vMerge w:val="continue"/>
          </w:tcPr>
          <w:p>
            <w:pPr>
              <w:widowControl/>
              <w:spacing w:line="360" w:lineRule="exact"/>
              <w:jc w:val="lef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49" w:type="dxa"/>
            <w:vMerge w:val="continue"/>
            <w:vAlign w:val="center"/>
          </w:tcPr>
          <w:p>
            <w:pPr>
              <w:widowControl/>
              <w:spacing w:line="360" w:lineRule="exact"/>
              <w:jc w:val="lef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3.</w:t>
            </w:r>
            <w:r>
              <w:rPr>
                <w:rFonts w:hint="eastAsia" w:ascii="Times New Roman" w:hAnsi="Times New Roman" w:eastAsia="仿宋"/>
                <w:b/>
                <w:bCs/>
                <w:color w:val="000000"/>
                <w:kern w:val="0"/>
                <w:sz w:val="28"/>
                <w:szCs w:val="28"/>
              </w:rPr>
              <w:t>重视特色课程的开发与实施：</w:t>
            </w:r>
            <w:r>
              <w:rPr>
                <w:rFonts w:hint="eastAsia" w:ascii="Times New Roman" w:hAnsi="Times New Roman" w:eastAsia="仿宋"/>
                <w:color w:val="000000"/>
                <w:kern w:val="0"/>
                <w:sz w:val="28"/>
                <w:szCs w:val="28"/>
              </w:rPr>
              <w:t>把特色培育工作与课程体系建设和育人模式创新有机结合，强化特色学科（专业）、特色课程群和创新实验室建设，积极开发富有特色的精品课程，同步跟进育人模式转变与教学方法变革，通过课程特色支撑办学特色。</w:t>
            </w:r>
          </w:p>
        </w:tc>
        <w:tc>
          <w:tcPr>
            <w:tcW w:w="2100" w:type="dxa"/>
            <w:vMerge w:val="continue"/>
          </w:tcPr>
          <w:p>
            <w:pPr>
              <w:widowControl/>
              <w:spacing w:line="360" w:lineRule="exact"/>
              <w:jc w:val="left"/>
              <w:rPr>
                <w:rFonts w:ascii="Times New Roman" w:hAnsi="Times New Roman" w:eastAsia="仿宋"/>
                <w:b/>
                <w:bCs/>
                <w:color w:val="000000"/>
                <w:kern w:val="0"/>
                <w:sz w:val="28"/>
                <w:szCs w:val="28"/>
              </w:rPr>
            </w:pPr>
          </w:p>
        </w:tc>
        <w:tc>
          <w:tcPr>
            <w:tcW w:w="1800" w:type="dxa"/>
            <w:vMerge w:val="continue"/>
          </w:tcPr>
          <w:p>
            <w:pPr>
              <w:widowControl/>
              <w:spacing w:line="360" w:lineRule="exact"/>
              <w:jc w:val="left"/>
              <w:rPr>
                <w:rFonts w:ascii="Times New Roman" w:hAnsi="Times New Roman" w:eastAsia="仿宋"/>
                <w:b/>
                <w:bCs/>
                <w:color w:val="000000"/>
                <w:kern w:val="0"/>
                <w:sz w:val="28"/>
                <w:szCs w:val="28"/>
              </w:rPr>
            </w:pPr>
          </w:p>
        </w:tc>
        <w:tc>
          <w:tcPr>
            <w:tcW w:w="1035" w:type="dxa"/>
            <w:vMerge w:val="continue"/>
          </w:tcPr>
          <w:p>
            <w:pPr>
              <w:widowControl/>
              <w:spacing w:line="360" w:lineRule="exact"/>
              <w:jc w:val="left"/>
              <w:rPr>
                <w:rFonts w:ascii="Times New Roman" w:hAnsi="Times New Roman" w:eastAsia="仿宋"/>
                <w:b/>
                <w:bCs/>
                <w:color w:val="000000"/>
                <w:kern w:val="0"/>
                <w:sz w:val="28"/>
                <w:szCs w:val="28"/>
              </w:rPr>
            </w:pPr>
          </w:p>
        </w:tc>
        <w:tc>
          <w:tcPr>
            <w:tcW w:w="1200" w:type="dxa"/>
            <w:vMerge w:val="continue"/>
          </w:tcPr>
          <w:p>
            <w:pPr>
              <w:widowControl/>
              <w:spacing w:line="360" w:lineRule="exact"/>
              <w:jc w:val="lef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449" w:type="dxa"/>
            <w:vMerge w:val="continue"/>
            <w:vAlign w:val="center"/>
          </w:tcPr>
          <w:p>
            <w:pPr>
              <w:widowControl/>
              <w:spacing w:line="360" w:lineRule="exact"/>
              <w:jc w:val="left"/>
              <w:rPr>
                <w:rFonts w:ascii="Times New Roman" w:hAnsi="Times New Roman" w:eastAsia="仿宋"/>
                <w:b/>
                <w:bCs/>
                <w:color w:val="000000"/>
                <w:kern w:val="0"/>
                <w:sz w:val="28"/>
                <w:szCs w:val="28"/>
              </w:rPr>
            </w:pPr>
          </w:p>
        </w:tc>
        <w:tc>
          <w:tcPr>
            <w:tcW w:w="7066" w:type="dxa"/>
            <w:vAlign w:val="center"/>
          </w:tcPr>
          <w:p>
            <w:pPr>
              <w:widowControl/>
              <w:spacing w:line="360" w:lineRule="exact"/>
              <w:jc w:val="lef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4.</w:t>
            </w:r>
            <w:r>
              <w:rPr>
                <w:rFonts w:hint="eastAsia" w:ascii="Times New Roman" w:hAnsi="Times New Roman" w:eastAsia="仿宋"/>
                <w:b/>
                <w:bCs/>
                <w:color w:val="000000"/>
                <w:kern w:val="0"/>
                <w:sz w:val="28"/>
                <w:szCs w:val="28"/>
              </w:rPr>
              <w:t>重视特有品质的培育与形成：</w:t>
            </w:r>
            <w:r>
              <w:rPr>
                <w:rFonts w:hint="eastAsia" w:ascii="Times New Roman" w:hAnsi="Times New Roman" w:eastAsia="仿宋"/>
                <w:color w:val="000000"/>
                <w:kern w:val="0"/>
                <w:sz w:val="28"/>
                <w:szCs w:val="28"/>
              </w:rPr>
              <w:t>科学规划、合理设置特色课程，强化信息技术在特色培育中的作用，加强信息技术与特色学科和特色课程建设的融合，有效整合校内外资源，不断完善特色课程的目标、内容、实施和评价，把特色培育工作落到实处，教师素养得到有效提升，学生特有的共性品质得到有效培养，个性得到良好发展。</w:t>
            </w:r>
          </w:p>
        </w:tc>
        <w:tc>
          <w:tcPr>
            <w:tcW w:w="2100" w:type="dxa"/>
            <w:vMerge w:val="continue"/>
          </w:tcPr>
          <w:p>
            <w:pPr>
              <w:widowControl/>
              <w:spacing w:line="360" w:lineRule="exact"/>
              <w:jc w:val="left"/>
              <w:rPr>
                <w:rFonts w:ascii="Times New Roman" w:hAnsi="Times New Roman" w:eastAsia="仿宋"/>
                <w:b/>
                <w:bCs/>
                <w:color w:val="000000"/>
                <w:kern w:val="0"/>
                <w:sz w:val="28"/>
                <w:szCs w:val="28"/>
              </w:rPr>
            </w:pPr>
          </w:p>
        </w:tc>
        <w:tc>
          <w:tcPr>
            <w:tcW w:w="1800" w:type="dxa"/>
            <w:vMerge w:val="continue"/>
          </w:tcPr>
          <w:p>
            <w:pPr>
              <w:widowControl/>
              <w:spacing w:line="360" w:lineRule="exact"/>
              <w:jc w:val="left"/>
              <w:rPr>
                <w:rFonts w:ascii="Times New Roman" w:hAnsi="Times New Roman" w:eastAsia="仿宋"/>
                <w:b/>
                <w:bCs/>
                <w:color w:val="000000"/>
                <w:kern w:val="0"/>
                <w:sz w:val="28"/>
                <w:szCs w:val="28"/>
              </w:rPr>
            </w:pPr>
          </w:p>
        </w:tc>
        <w:tc>
          <w:tcPr>
            <w:tcW w:w="1035" w:type="dxa"/>
            <w:vMerge w:val="continue"/>
          </w:tcPr>
          <w:p>
            <w:pPr>
              <w:widowControl/>
              <w:spacing w:line="360" w:lineRule="exact"/>
              <w:jc w:val="left"/>
              <w:rPr>
                <w:rFonts w:ascii="Times New Roman" w:hAnsi="Times New Roman" w:eastAsia="仿宋"/>
                <w:b/>
                <w:bCs/>
                <w:color w:val="000000"/>
                <w:kern w:val="0"/>
                <w:sz w:val="28"/>
                <w:szCs w:val="28"/>
              </w:rPr>
            </w:pPr>
          </w:p>
        </w:tc>
        <w:tc>
          <w:tcPr>
            <w:tcW w:w="1200" w:type="dxa"/>
            <w:vMerge w:val="continue"/>
          </w:tcPr>
          <w:p>
            <w:pPr>
              <w:widowControl/>
              <w:spacing w:line="360" w:lineRule="exact"/>
              <w:jc w:val="lef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1449" w:type="dxa"/>
            <w:vMerge w:val="restart"/>
            <w:vAlign w:val="center"/>
          </w:tcPr>
          <w:p>
            <w:pPr>
              <w:widowControl/>
              <w:spacing w:line="360" w:lineRule="exact"/>
              <w:jc w:val="center"/>
              <w:rPr>
                <w:rFonts w:ascii="Times New Roman" w:hAnsi="Times New Roman" w:eastAsia="仿宋"/>
                <w:b/>
                <w:bCs/>
                <w:color w:val="000000"/>
                <w:kern w:val="0"/>
                <w:sz w:val="28"/>
                <w:szCs w:val="28"/>
              </w:rPr>
            </w:pPr>
            <w:r>
              <w:rPr>
                <w:rFonts w:hint="eastAsia" w:ascii="Times New Roman" w:hAnsi="Times New Roman" w:eastAsia="仿宋"/>
                <w:b/>
                <w:bCs/>
                <w:color w:val="000000"/>
                <w:kern w:val="0"/>
                <w:sz w:val="28"/>
                <w:szCs w:val="28"/>
              </w:rPr>
              <w:t>提升办</w:t>
            </w:r>
          </w:p>
          <w:p>
            <w:pPr>
              <w:widowControl/>
              <w:spacing w:line="360" w:lineRule="exact"/>
              <w:jc w:val="center"/>
              <w:rPr>
                <w:rFonts w:ascii="Times New Roman" w:hAnsi="Times New Roman" w:eastAsia="仿宋"/>
                <w:b/>
                <w:color w:val="000000"/>
                <w:kern w:val="0"/>
                <w:sz w:val="28"/>
                <w:szCs w:val="28"/>
              </w:rPr>
            </w:pPr>
            <w:r>
              <w:rPr>
                <w:rFonts w:hint="eastAsia" w:ascii="Times New Roman" w:hAnsi="Times New Roman" w:eastAsia="仿宋"/>
                <w:b/>
                <w:bCs/>
                <w:color w:val="000000"/>
                <w:kern w:val="0"/>
                <w:sz w:val="28"/>
                <w:szCs w:val="28"/>
              </w:rPr>
              <w:t>学品位</w:t>
            </w: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1.</w:t>
            </w:r>
            <w:r>
              <w:rPr>
                <w:rFonts w:hint="eastAsia" w:ascii="Times New Roman" w:hAnsi="Times New Roman" w:eastAsia="仿宋"/>
                <w:b/>
                <w:bCs/>
                <w:color w:val="000000"/>
                <w:kern w:val="0"/>
                <w:sz w:val="28"/>
                <w:szCs w:val="28"/>
              </w:rPr>
              <w:t>学校发展：</w:t>
            </w:r>
            <w:r>
              <w:rPr>
                <w:rFonts w:hint="eastAsia" w:ascii="Times New Roman" w:hAnsi="Times New Roman" w:eastAsia="仿宋"/>
                <w:color w:val="000000"/>
                <w:kern w:val="0"/>
                <w:sz w:val="28"/>
                <w:szCs w:val="28"/>
              </w:rPr>
              <w:t>学校在原有基础上取得明显进步与发展，教育教学质量稳步提高，办学成果显著，办学特色鲜明，学校发展得到整体优化，办学目标如期实现，深得学生喜欢，得到家长、社区、社会肯定，高一级学校好评。中职学校为地方经济社会发展</w:t>
            </w:r>
            <w:r>
              <w:rPr>
                <w:rFonts w:hint="eastAsia" w:ascii="Times New Roman" w:hAnsi="Times New Roman" w:eastAsia="仿宋"/>
                <w:color w:val="000000"/>
                <w:kern w:val="0"/>
                <w:sz w:val="28"/>
                <w:szCs w:val="28"/>
                <w:lang w:eastAsia="zh-CN"/>
              </w:rPr>
              <w:t>作出贡献</w:t>
            </w:r>
            <w:r>
              <w:rPr>
                <w:rFonts w:hint="eastAsia" w:ascii="Times New Roman" w:hAnsi="Times New Roman" w:eastAsia="仿宋"/>
                <w:color w:val="000000"/>
                <w:kern w:val="0"/>
                <w:sz w:val="28"/>
                <w:szCs w:val="28"/>
              </w:rPr>
              <w:t>，得到当地政府和行业企业的认可。</w:t>
            </w:r>
          </w:p>
        </w:tc>
        <w:tc>
          <w:tcPr>
            <w:tcW w:w="2100" w:type="dxa"/>
            <w:vMerge w:val="restart"/>
          </w:tcPr>
          <w:p>
            <w:pPr>
              <w:widowControl/>
              <w:spacing w:line="360" w:lineRule="exact"/>
              <w:jc w:val="left"/>
              <w:rPr>
                <w:rFonts w:ascii="Times New Roman" w:hAnsi="Times New Roman" w:eastAsia="仿宋"/>
                <w:color w:val="000000"/>
                <w:kern w:val="0"/>
                <w:sz w:val="28"/>
                <w:szCs w:val="28"/>
              </w:rPr>
            </w:pPr>
          </w:p>
        </w:tc>
        <w:tc>
          <w:tcPr>
            <w:tcW w:w="1800" w:type="dxa"/>
            <w:vMerge w:val="restart"/>
          </w:tcPr>
          <w:p>
            <w:pPr>
              <w:widowControl/>
              <w:spacing w:line="360" w:lineRule="exact"/>
              <w:jc w:val="left"/>
              <w:rPr>
                <w:rFonts w:ascii="Times New Roman" w:hAnsi="Times New Roman" w:eastAsia="仿宋"/>
                <w:color w:val="000000"/>
                <w:kern w:val="0"/>
                <w:sz w:val="28"/>
                <w:szCs w:val="28"/>
              </w:rPr>
            </w:pPr>
          </w:p>
          <w:p>
            <w:pPr>
              <w:rPr>
                <w:rFonts w:ascii="Times New Roman" w:hAnsi="Times New Roman" w:eastAsia="仿宋"/>
                <w:color w:val="000000"/>
                <w:kern w:val="0"/>
                <w:sz w:val="28"/>
                <w:szCs w:val="28"/>
              </w:rPr>
            </w:pPr>
          </w:p>
          <w:p>
            <w:pPr>
              <w:rPr>
                <w:rFonts w:ascii="Times New Roman" w:hAnsi="Times New Roman" w:eastAsia="仿宋"/>
                <w:color w:val="000000"/>
                <w:kern w:val="0"/>
                <w:sz w:val="28"/>
                <w:szCs w:val="28"/>
              </w:rPr>
            </w:pPr>
          </w:p>
          <w:p>
            <w:pPr>
              <w:jc w:val="left"/>
            </w:pPr>
          </w:p>
        </w:tc>
        <w:tc>
          <w:tcPr>
            <w:tcW w:w="1035" w:type="dxa"/>
            <w:vMerge w:val="restart"/>
          </w:tcPr>
          <w:p>
            <w:pPr>
              <w:widowControl/>
              <w:spacing w:line="360" w:lineRule="exact"/>
              <w:jc w:val="left"/>
              <w:rPr>
                <w:rFonts w:ascii="Times New Roman" w:hAnsi="Times New Roman" w:eastAsia="仿宋"/>
                <w:color w:val="000000"/>
                <w:kern w:val="0"/>
                <w:sz w:val="28"/>
                <w:szCs w:val="28"/>
              </w:rPr>
            </w:pPr>
          </w:p>
        </w:tc>
        <w:tc>
          <w:tcPr>
            <w:tcW w:w="1200" w:type="dxa"/>
            <w:vMerge w:val="restart"/>
          </w:tcPr>
          <w:p>
            <w:pPr>
              <w:widowControl/>
              <w:spacing w:line="360" w:lineRule="exact"/>
              <w:jc w:val="left"/>
              <w:rPr>
                <w:rFonts w:ascii="Times New Roman" w:hAnsi="Times New Roman"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1449" w:type="dxa"/>
            <w:vMerge w:val="continue"/>
            <w:vAlign w:val="center"/>
          </w:tcPr>
          <w:p>
            <w:pPr>
              <w:widowControl/>
              <w:spacing w:line="360" w:lineRule="exact"/>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2.</w:t>
            </w:r>
            <w:r>
              <w:rPr>
                <w:rFonts w:hint="eastAsia" w:ascii="Times New Roman" w:hAnsi="Times New Roman" w:eastAsia="仿宋"/>
                <w:b/>
                <w:bCs/>
                <w:color w:val="000000"/>
                <w:kern w:val="0"/>
                <w:sz w:val="28"/>
                <w:szCs w:val="28"/>
              </w:rPr>
              <w:t>教师发展：</w:t>
            </w:r>
            <w:r>
              <w:rPr>
                <w:rFonts w:hint="eastAsia" w:ascii="Times New Roman" w:hAnsi="Times New Roman" w:eastAsia="仿宋"/>
                <w:color w:val="000000"/>
                <w:kern w:val="0"/>
                <w:sz w:val="28"/>
                <w:szCs w:val="28"/>
              </w:rPr>
              <w:t>教师在工作与学习、思考与反思中实现自我成长，体现自我价值，感受到职业的尊严与快乐，教师个体成长目标全面达成，教师团队建设目标如期实现，教师整体水平得到全面提升。</w:t>
            </w:r>
          </w:p>
        </w:tc>
        <w:tc>
          <w:tcPr>
            <w:tcW w:w="2100" w:type="dxa"/>
            <w:vMerge w:val="continue"/>
          </w:tcPr>
          <w:p>
            <w:pPr>
              <w:widowControl/>
              <w:spacing w:line="360" w:lineRule="exact"/>
            </w:pPr>
          </w:p>
        </w:tc>
        <w:tc>
          <w:tcPr>
            <w:tcW w:w="1800" w:type="dxa"/>
            <w:vMerge w:val="continue"/>
          </w:tcPr>
          <w:p>
            <w:pPr>
              <w:widowControl/>
              <w:spacing w:line="360" w:lineRule="exact"/>
            </w:pPr>
          </w:p>
        </w:tc>
        <w:tc>
          <w:tcPr>
            <w:tcW w:w="1035" w:type="dxa"/>
            <w:vMerge w:val="continue"/>
          </w:tcPr>
          <w:p>
            <w:pPr>
              <w:widowControl/>
              <w:spacing w:line="360" w:lineRule="exact"/>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1449" w:type="dxa"/>
            <w:vMerge w:val="continue"/>
            <w:vAlign w:val="center"/>
          </w:tcPr>
          <w:p>
            <w:pPr>
              <w:widowControl/>
              <w:spacing w:line="360" w:lineRule="exact"/>
              <w:rPr>
                <w:rFonts w:ascii="Times New Roman" w:hAnsi="Times New Roman" w:eastAsia="仿宋"/>
                <w:b/>
                <w:bCs/>
                <w:color w:val="000000"/>
                <w:kern w:val="0"/>
                <w:sz w:val="28"/>
                <w:szCs w:val="28"/>
              </w:rPr>
            </w:pPr>
          </w:p>
        </w:tc>
        <w:tc>
          <w:tcPr>
            <w:tcW w:w="7066" w:type="dxa"/>
            <w:vAlign w:val="center"/>
          </w:tcPr>
          <w:p>
            <w:pPr>
              <w:widowControl/>
              <w:spacing w:line="360" w:lineRule="exact"/>
              <w:rPr>
                <w:rFonts w:ascii="Times New Roman" w:hAnsi="Times New Roman" w:eastAsia="仿宋"/>
                <w:b/>
                <w:bCs/>
                <w:color w:val="000000"/>
                <w:kern w:val="0"/>
                <w:sz w:val="28"/>
                <w:szCs w:val="28"/>
              </w:rPr>
            </w:pPr>
            <w:r>
              <w:rPr>
                <w:rFonts w:ascii="Times New Roman" w:hAnsi="Times New Roman" w:eastAsia="仿宋"/>
                <w:b/>
                <w:bCs/>
                <w:color w:val="000000"/>
                <w:kern w:val="0"/>
                <w:sz w:val="28"/>
                <w:szCs w:val="28"/>
              </w:rPr>
              <w:t>3.</w:t>
            </w:r>
            <w:r>
              <w:rPr>
                <w:rFonts w:hint="eastAsia" w:ascii="Times New Roman" w:hAnsi="Times New Roman" w:eastAsia="仿宋"/>
                <w:b/>
                <w:bCs/>
                <w:color w:val="000000"/>
                <w:kern w:val="0"/>
                <w:sz w:val="28"/>
                <w:szCs w:val="28"/>
              </w:rPr>
              <w:t>学生发展：</w:t>
            </w:r>
            <w:r>
              <w:rPr>
                <w:rFonts w:hint="eastAsia" w:ascii="Times New Roman" w:hAnsi="Times New Roman" w:eastAsia="仿宋"/>
                <w:color w:val="000000"/>
                <w:kern w:val="0"/>
                <w:sz w:val="28"/>
                <w:szCs w:val="28"/>
              </w:rPr>
              <w:t>学生全面又有个性地健康成长，全面实现课改三维目标；学生核心素养培育成效显著，学生身心健康，自信阳光，德智体美全面发展。中职学生品德优良、人文扎实、技能精湛、身心健康。</w:t>
            </w:r>
          </w:p>
        </w:tc>
        <w:tc>
          <w:tcPr>
            <w:tcW w:w="2100" w:type="dxa"/>
            <w:vMerge w:val="continue"/>
          </w:tcPr>
          <w:p>
            <w:pPr>
              <w:widowControl/>
              <w:spacing w:line="360" w:lineRule="exact"/>
              <w:rPr>
                <w:rFonts w:ascii="Times New Roman" w:hAnsi="Times New Roman" w:eastAsia="仿宋"/>
                <w:b/>
                <w:bCs/>
                <w:color w:val="000000"/>
                <w:kern w:val="0"/>
                <w:sz w:val="28"/>
                <w:szCs w:val="28"/>
              </w:rPr>
            </w:pPr>
          </w:p>
        </w:tc>
        <w:tc>
          <w:tcPr>
            <w:tcW w:w="1800" w:type="dxa"/>
            <w:vMerge w:val="continue"/>
          </w:tcPr>
          <w:p>
            <w:pPr>
              <w:widowControl/>
              <w:spacing w:line="360" w:lineRule="exact"/>
              <w:rPr>
                <w:rFonts w:ascii="Times New Roman" w:hAnsi="Times New Roman" w:eastAsia="仿宋"/>
                <w:b/>
                <w:bCs/>
                <w:color w:val="000000"/>
                <w:kern w:val="0"/>
                <w:sz w:val="28"/>
                <w:szCs w:val="28"/>
              </w:rPr>
            </w:pPr>
          </w:p>
        </w:tc>
        <w:tc>
          <w:tcPr>
            <w:tcW w:w="1035" w:type="dxa"/>
            <w:vMerge w:val="continue"/>
          </w:tcPr>
          <w:p>
            <w:pPr>
              <w:widowControl/>
              <w:spacing w:line="360" w:lineRule="exact"/>
              <w:rPr>
                <w:rFonts w:ascii="Times New Roman" w:hAnsi="Times New Roman" w:eastAsia="仿宋"/>
                <w:b/>
                <w:bCs/>
                <w:color w:val="000000"/>
                <w:kern w:val="0"/>
                <w:sz w:val="28"/>
                <w:szCs w:val="28"/>
              </w:rPr>
            </w:pPr>
          </w:p>
        </w:tc>
        <w:tc>
          <w:tcPr>
            <w:tcW w:w="1200" w:type="dxa"/>
            <w:vMerge w:val="continue"/>
          </w:tcPr>
          <w:p>
            <w:pPr>
              <w:widowControl/>
              <w:spacing w:line="360" w:lineRule="exact"/>
              <w:rPr>
                <w:rFonts w:ascii="Times New Roman" w:hAnsi="Times New Roman" w:eastAsia="仿宋"/>
                <w:b/>
                <w:bCs/>
                <w:color w:val="000000"/>
                <w:kern w:val="0"/>
                <w:sz w:val="28"/>
                <w:szCs w:val="28"/>
              </w:rPr>
            </w:pPr>
          </w:p>
        </w:tc>
      </w:tr>
    </w:tbl>
    <w:p>
      <w:pPr>
        <w:rPr>
          <w:rFonts w:ascii="Times New Roman" w:hAnsi="Times New Roman"/>
          <w:color w:val="000000"/>
        </w:rPr>
      </w:pPr>
    </w:p>
    <w:sectPr>
      <w:footerReference r:id="rId3" w:type="default"/>
      <w:footerReference r:id="rId4" w:type="even"/>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revisionView w:markup="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Y0YzU1YjdlNWIxZTVlZmU1MDljYjYwMzUzYjRkNjAifQ=="/>
  </w:docVars>
  <w:rsids>
    <w:rsidRoot w:val="000142C7"/>
    <w:rsid w:val="000142C7"/>
    <w:rsid w:val="000144B9"/>
    <w:rsid w:val="00047837"/>
    <w:rsid w:val="000A7190"/>
    <w:rsid w:val="000E4254"/>
    <w:rsid w:val="000F3C5D"/>
    <w:rsid w:val="001A2548"/>
    <w:rsid w:val="001F1210"/>
    <w:rsid w:val="00226D01"/>
    <w:rsid w:val="00240F68"/>
    <w:rsid w:val="002456AA"/>
    <w:rsid w:val="00246DEF"/>
    <w:rsid w:val="00260B37"/>
    <w:rsid w:val="00263C86"/>
    <w:rsid w:val="00354CE3"/>
    <w:rsid w:val="003A3A38"/>
    <w:rsid w:val="003B379A"/>
    <w:rsid w:val="00432E22"/>
    <w:rsid w:val="00456B9C"/>
    <w:rsid w:val="00486460"/>
    <w:rsid w:val="00493E3F"/>
    <w:rsid w:val="004B42A4"/>
    <w:rsid w:val="0053723D"/>
    <w:rsid w:val="00557842"/>
    <w:rsid w:val="00560D49"/>
    <w:rsid w:val="00567562"/>
    <w:rsid w:val="005A610A"/>
    <w:rsid w:val="005B138F"/>
    <w:rsid w:val="005D0F10"/>
    <w:rsid w:val="005E1E39"/>
    <w:rsid w:val="005F26A7"/>
    <w:rsid w:val="006044EB"/>
    <w:rsid w:val="00672A7E"/>
    <w:rsid w:val="006A774C"/>
    <w:rsid w:val="006B161D"/>
    <w:rsid w:val="006C4FFD"/>
    <w:rsid w:val="00700BCF"/>
    <w:rsid w:val="00760EA3"/>
    <w:rsid w:val="00776E1E"/>
    <w:rsid w:val="00786DA4"/>
    <w:rsid w:val="00825727"/>
    <w:rsid w:val="008438E3"/>
    <w:rsid w:val="00874794"/>
    <w:rsid w:val="008E0A9A"/>
    <w:rsid w:val="008F1A70"/>
    <w:rsid w:val="00906092"/>
    <w:rsid w:val="00927AA1"/>
    <w:rsid w:val="00942141"/>
    <w:rsid w:val="009F567E"/>
    <w:rsid w:val="00A40DA3"/>
    <w:rsid w:val="00B2163C"/>
    <w:rsid w:val="00B85D3C"/>
    <w:rsid w:val="00BF7E63"/>
    <w:rsid w:val="00C53D5D"/>
    <w:rsid w:val="00C613F8"/>
    <w:rsid w:val="00C750B2"/>
    <w:rsid w:val="00CB5985"/>
    <w:rsid w:val="00CE63C4"/>
    <w:rsid w:val="00CF5B07"/>
    <w:rsid w:val="00D11EC0"/>
    <w:rsid w:val="00D163F9"/>
    <w:rsid w:val="00D758CC"/>
    <w:rsid w:val="00D82A43"/>
    <w:rsid w:val="00DD7E14"/>
    <w:rsid w:val="00E038E4"/>
    <w:rsid w:val="00E16015"/>
    <w:rsid w:val="00E263EB"/>
    <w:rsid w:val="00EA43D8"/>
    <w:rsid w:val="00EA635A"/>
    <w:rsid w:val="00F23AC7"/>
    <w:rsid w:val="00F26F69"/>
    <w:rsid w:val="00F467E6"/>
    <w:rsid w:val="00FE5C32"/>
    <w:rsid w:val="010B5206"/>
    <w:rsid w:val="015246C0"/>
    <w:rsid w:val="01E3762C"/>
    <w:rsid w:val="02072DC5"/>
    <w:rsid w:val="03307A86"/>
    <w:rsid w:val="03BC4DFC"/>
    <w:rsid w:val="042F0715"/>
    <w:rsid w:val="055A7E06"/>
    <w:rsid w:val="056523C1"/>
    <w:rsid w:val="05C13274"/>
    <w:rsid w:val="05D5237C"/>
    <w:rsid w:val="05F351BC"/>
    <w:rsid w:val="064A73DC"/>
    <w:rsid w:val="06694C70"/>
    <w:rsid w:val="06F35F77"/>
    <w:rsid w:val="07264047"/>
    <w:rsid w:val="07931E51"/>
    <w:rsid w:val="082158BF"/>
    <w:rsid w:val="086B1450"/>
    <w:rsid w:val="089701EA"/>
    <w:rsid w:val="09413EC5"/>
    <w:rsid w:val="09557B70"/>
    <w:rsid w:val="098520F6"/>
    <w:rsid w:val="09967B1C"/>
    <w:rsid w:val="0A332289"/>
    <w:rsid w:val="0A4335DB"/>
    <w:rsid w:val="0B671DFE"/>
    <w:rsid w:val="0B82712D"/>
    <w:rsid w:val="0C8E6C15"/>
    <w:rsid w:val="0CC276D9"/>
    <w:rsid w:val="0DD70F80"/>
    <w:rsid w:val="0EA359AF"/>
    <w:rsid w:val="0F3F7F6E"/>
    <w:rsid w:val="10D35802"/>
    <w:rsid w:val="11323BDB"/>
    <w:rsid w:val="11BD46ED"/>
    <w:rsid w:val="12300044"/>
    <w:rsid w:val="12603CB1"/>
    <w:rsid w:val="127266A2"/>
    <w:rsid w:val="12DB1E44"/>
    <w:rsid w:val="13140A38"/>
    <w:rsid w:val="131F529A"/>
    <w:rsid w:val="13310240"/>
    <w:rsid w:val="134F238D"/>
    <w:rsid w:val="13671076"/>
    <w:rsid w:val="13801BB9"/>
    <w:rsid w:val="13B66E2C"/>
    <w:rsid w:val="13F97A7C"/>
    <w:rsid w:val="147B7899"/>
    <w:rsid w:val="15040FE2"/>
    <w:rsid w:val="156637D8"/>
    <w:rsid w:val="15B24910"/>
    <w:rsid w:val="15EE5565"/>
    <w:rsid w:val="16095383"/>
    <w:rsid w:val="165F5F18"/>
    <w:rsid w:val="16B124B9"/>
    <w:rsid w:val="170E5FD3"/>
    <w:rsid w:val="17156E5B"/>
    <w:rsid w:val="17A52C5B"/>
    <w:rsid w:val="183E1DC5"/>
    <w:rsid w:val="187C4294"/>
    <w:rsid w:val="18870305"/>
    <w:rsid w:val="18930EDB"/>
    <w:rsid w:val="192A3B8A"/>
    <w:rsid w:val="19B60C58"/>
    <w:rsid w:val="1A642977"/>
    <w:rsid w:val="1A995F00"/>
    <w:rsid w:val="1AFC2B5F"/>
    <w:rsid w:val="1BC75EED"/>
    <w:rsid w:val="1BEE76A3"/>
    <w:rsid w:val="1BF67BA8"/>
    <w:rsid w:val="1C2B15BB"/>
    <w:rsid w:val="1D2469B6"/>
    <w:rsid w:val="1EDF539A"/>
    <w:rsid w:val="1F04300D"/>
    <w:rsid w:val="1F16611F"/>
    <w:rsid w:val="1F4724C5"/>
    <w:rsid w:val="1FB81F98"/>
    <w:rsid w:val="20396332"/>
    <w:rsid w:val="20495B65"/>
    <w:rsid w:val="205C5515"/>
    <w:rsid w:val="20687D1D"/>
    <w:rsid w:val="20894149"/>
    <w:rsid w:val="21490B5C"/>
    <w:rsid w:val="217F3EE3"/>
    <w:rsid w:val="219E1BCC"/>
    <w:rsid w:val="21DB2564"/>
    <w:rsid w:val="21E254E8"/>
    <w:rsid w:val="21FB06E4"/>
    <w:rsid w:val="222F1EC8"/>
    <w:rsid w:val="224463EC"/>
    <w:rsid w:val="227B5296"/>
    <w:rsid w:val="234B1C6E"/>
    <w:rsid w:val="24404361"/>
    <w:rsid w:val="24B33119"/>
    <w:rsid w:val="24C84AD1"/>
    <w:rsid w:val="24D46E7D"/>
    <w:rsid w:val="259066AC"/>
    <w:rsid w:val="26061B00"/>
    <w:rsid w:val="27D96235"/>
    <w:rsid w:val="27E722C8"/>
    <w:rsid w:val="281028E9"/>
    <w:rsid w:val="28800FAE"/>
    <w:rsid w:val="28F07834"/>
    <w:rsid w:val="28F61CAF"/>
    <w:rsid w:val="2A8371F8"/>
    <w:rsid w:val="2AA70333"/>
    <w:rsid w:val="2AA876E9"/>
    <w:rsid w:val="2B9073E4"/>
    <w:rsid w:val="2BE73A7E"/>
    <w:rsid w:val="2C5C2ACE"/>
    <w:rsid w:val="2C602514"/>
    <w:rsid w:val="2CF846D9"/>
    <w:rsid w:val="2D4C4E76"/>
    <w:rsid w:val="2E95442E"/>
    <w:rsid w:val="2EFD50D8"/>
    <w:rsid w:val="2F2357F1"/>
    <w:rsid w:val="2F425464"/>
    <w:rsid w:val="2F6E30C9"/>
    <w:rsid w:val="2FDC649C"/>
    <w:rsid w:val="30303637"/>
    <w:rsid w:val="309C3D41"/>
    <w:rsid w:val="30AF3642"/>
    <w:rsid w:val="30B91555"/>
    <w:rsid w:val="311D16F5"/>
    <w:rsid w:val="3180127B"/>
    <w:rsid w:val="31874596"/>
    <w:rsid w:val="32030698"/>
    <w:rsid w:val="3295405C"/>
    <w:rsid w:val="32E70CF2"/>
    <w:rsid w:val="34286E6B"/>
    <w:rsid w:val="348F0535"/>
    <w:rsid w:val="34B17E20"/>
    <w:rsid w:val="34EE208F"/>
    <w:rsid w:val="34F47FA8"/>
    <w:rsid w:val="35051192"/>
    <w:rsid w:val="350D106F"/>
    <w:rsid w:val="35302C26"/>
    <w:rsid w:val="36B25E03"/>
    <w:rsid w:val="370D507A"/>
    <w:rsid w:val="37B0418F"/>
    <w:rsid w:val="37CE48A4"/>
    <w:rsid w:val="388C14E7"/>
    <w:rsid w:val="388E2999"/>
    <w:rsid w:val="38BA7E0F"/>
    <w:rsid w:val="38C82AD0"/>
    <w:rsid w:val="394105F5"/>
    <w:rsid w:val="396347A1"/>
    <w:rsid w:val="397C152B"/>
    <w:rsid w:val="39D90DDA"/>
    <w:rsid w:val="39E30C89"/>
    <w:rsid w:val="3A0B64BB"/>
    <w:rsid w:val="3AA52C33"/>
    <w:rsid w:val="3C5C3B20"/>
    <w:rsid w:val="3C6A66D7"/>
    <w:rsid w:val="3CAF539F"/>
    <w:rsid w:val="3CD961B8"/>
    <w:rsid w:val="3CFC52D7"/>
    <w:rsid w:val="3D5A1CF5"/>
    <w:rsid w:val="3DC941BE"/>
    <w:rsid w:val="3E164D32"/>
    <w:rsid w:val="3E401490"/>
    <w:rsid w:val="3E633FC9"/>
    <w:rsid w:val="3E6F265B"/>
    <w:rsid w:val="3F2341F3"/>
    <w:rsid w:val="3F60347E"/>
    <w:rsid w:val="3F7242AF"/>
    <w:rsid w:val="3FA12D44"/>
    <w:rsid w:val="3FF10A9C"/>
    <w:rsid w:val="4012525A"/>
    <w:rsid w:val="408F3A81"/>
    <w:rsid w:val="40AE1C77"/>
    <w:rsid w:val="40F72715"/>
    <w:rsid w:val="410768D2"/>
    <w:rsid w:val="4195332D"/>
    <w:rsid w:val="42012D74"/>
    <w:rsid w:val="428B1943"/>
    <w:rsid w:val="43084985"/>
    <w:rsid w:val="43AB0FFD"/>
    <w:rsid w:val="4418730B"/>
    <w:rsid w:val="44665CE8"/>
    <w:rsid w:val="449138E7"/>
    <w:rsid w:val="453A5A05"/>
    <w:rsid w:val="45761F4E"/>
    <w:rsid w:val="45CD66A3"/>
    <w:rsid w:val="45DF1428"/>
    <w:rsid w:val="46296513"/>
    <w:rsid w:val="46D54803"/>
    <w:rsid w:val="46FD2070"/>
    <w:rsid w:val="476D698D"/>
    <w:rsid w:val="47807CAE"/>
    <w:rsid w:val="4794322C"/>
    <w:rsid w:val="48374886"/>
    <w:rsid w:val="4AB82324"/>
    <w:rsid w:val="4AE30348"/>
    <w:rsid w:val="4B7E38D6"/>
    <w:rsid w:val="4B8046CA"/>
    <w:rsid w:val="4CEE17A0"/>
    <w:rsid w:val="4E1B1ECB"/>
    <w:rsid w:val="4EA97869"/>
    <w:rsid w:val="4F6B497E"/>
    <w:rsid w:val="50274DCA"/>
    <w:rsid w:val="512A31A8"/>
    <w:rsid w:val="519D19F9"/>
    <w:rsid w:val="51ED6792"/>
    <w:rsid w:val="52783745"/>
    <w:rsid w:val="52B26111"/>
    <w:rsid w:val="52BE7E71"/>
    <w:rsid w:val="52D14D8A"/>
    <w:rsid w:val="5335324C"/>
    <w:rsid w:val="53A94410"/>
    <w:rsid w:val="53B54F71"/>
    <w:rsid w:val="54CD441F"/>
    <w:rsid w:val="54ED4235"/>
    <w:rsid w:val="559519AF"/>
    <w:rsid w:val="55D714FD"/>
    <w:rsid w:val="56CD0BBD"/>
    <w:rsid w:val="56DD7918"/>
    <w:rsid w:val="570110F6"/>
    <w:rsid w:val="574541C7"/>
    <w:rsid w:val="57CC5B14"/>
    <w:rsid w:val="580F30C0"/>
    <w:rsid w:val="58451FE7"/>
    <w:rsid w:val="58480B67"/>
    <w:rsid w:val="58485976"/>
    <w:rsid w:val="59C369FE"/>
    <w:rsid w:val="5C7559FB"/>
    <w:rsid w:val="5C7F2345"/>
    <w:rsid w:val="5DD55BF2"/>
    <w:rsid w:val="5E2E3FBC"/>
    <w:rsid w:val="5EBA74B2"/>
    <w:rsid w:val="5F8E5947"/>
    <w:rsid w:val="6053430E"/>
    <w:rsid w:val="60DA3A5A"/>
    <w:rsid w:val="6169216C"/>
    <w:rsid w:val="61A92ED0"/>
    <w:rsid w:val="628113CE"/>
    <w:rsid w:val="62FE38C6"/>
    <w:rsid w:val="65430318"/>
    <w:rsid w:val="654B4901"/>
    <w:rsid w:val="65AD6A3D"/>
    <w:rsid w:val="65BE568D"/>
    <w:rsid w:val="65D61625"/>
    <w:rsid w:val="67B2700F"/>
    <w:rsid w:val="683A08FA"/>
    <w:rsid w:val="68666FDD"/>
    <w:rsid w:val="686A5570"/>
    <w:rsid w:val="688B68E2"/>
    <w:rsid w:val="691355AC"/>
    <w:rsid w:val="69441C3C"/>
    <w:rsid w:val="69685434"/>
    <w:rsid w:val="69940E26"/>
    <w:rsid w:val="6AEF1EEA"/>
    <w:rsid w:val="6B8D7496"/>
    <w:rsid w:val="6BC9177C"/>
    <w:rsid w:val="6BE73F2D"/>
    <w:rsid w:val="6BFA21E3"/>
    <w:rsid w:val="6CA50CFB"/>
    <w:rsid w:val="6D072480"/>
    <w:rsid w:val="6D2D27FA"/>
    <w:rsid w:val="6D4E5BDA"/>
    <w:rsid w:val="6D696AC3"/>
    <w:rsid w:val="6DBB0AA9"/>
    <w:rsid w:val="6DFC4909"/>
    <w:rsid w:val="6E4E3B1C"/>
    <w:rsid w:val="6E930898"/>
    <w:rsid w:val="6ED83FB9"/>
    <w:rsid w:val="6F030116"/>
    <w:rsid w:val="6F2B1C77"/>
    <w:rsid w:val="703F58BF"/>
    <w:rsid w:val="704A2AD0"/>
    <w:rsid w:val="70F40B84"/>
    <w:rsid w:val="70FD5D96"/>
    <w:rsid w:val="718E3710"/>
    <w:rsid w:val="719B4269"/>
    <w:rsid w:val="72394689"/>
    <w:rsid w:val="73F55663"/>
    <w:rsid w:val="75174AE5"/>
    <w:rsid w:val="75500C97"/>
    <w:rsid w:val="75753552"/>
    <w:rsid w:val="75CE3216"/>
    <w:rsid w:val="76521A8A"/>
    <w:rsid w:val="76673FBB"/>
    <w:rsid w:val="76BC6268"/>
    <w:rsid w:val="76DE76F4"/>
    <w:rsid w:val="773222A3"/>
    <w:rsid w:val="774C3BE0"/>
    <w:rsid w:val="78B81C5A"/>
    <w:rsid w:val="78D1272E"/>
    <w:rsid w:val="790E52AF"/>
    <w:rsid w:val="7917582B"/>
    <w:rsid w:val="79DD1F40"/>
    <w:rsid w:val="7A9E4919"/>
    <w:rsid w:val="7AFD728E"/>
    <w:rsid w:val="7B5B2E97"/>
    <w:rsid w:val="7BE9742E"/>
    <w:rsid w:val="7C1B36E1"/>
    <w:rsid w:val="7C6359E2"/>
    <w:rsid w:val="7C804EE6"/>
    <w:rsid w:val="7CB0026F"/>
    <w:rsid w:val="7D3220DA"/>
    <w:rsid w:val="7D4738E7"/>
    <w:rsid w:val="7DF520FD"/>
    <w:rsid w:val="7E411C1B"/>
    <w:rsid w:val="7F6E28CD"/>
    <w:rsid w:val="7FA200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99"/>
    <w:rPr>
      <w:rFonts w:cs="Times New Roman"/>
    </w:rPr>
  </w:style>
  <w:style w:type="character" w:customStyle="1" w:styleId="9">
    <w:name w:val="Balloon Text Char"/>
    <w:basedOn w:val="7"/>
    <w:link w:val="2"/>
    <w:semiHidden/>
    <w:locked/>
    <w:uiPriority w:val="99"/>
    <w:rPr>
      <w:rFonts w:cs="Times New Roman"/>
      <w:sz w:val="18"/>
      <w:szCs w:val="18"/>
    </w:rPr>
  </w:style>
  <w:style w:type="character" w:customStyle="1" w:styleId="10">
    <w:name w:val="Footer Char"/>
    <w:basedOn w:val="7"/>
    <w:link w:val="3"/>
    <w:locked/>
    <w:uiPriority w:val="99"/>
    <w:rPr>
      <w:rFonts w:cs="Times New Roman"/>
      <w:sz w:val="18"/>
      <w:szCs w:val="18"/>
    </w:rPr>
  </w:style>
  <w:style w:type="character" w:customStyle="1" w:styleId="11">
    <w:name w:val="Header Char"/>
    <w:basedOn w:val="7"/>
    <w:link w:val="4"/>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4237</Words>
  <Characters>4280</Characters>
  <Lines>0</Lines>
  <Paragraphs>0</Paragraphs>
  <TotalTime>9</TotalTime>
  <ScaleCrop>false</ScaleCrop>
  <LinksUpToDate>false</LinksUpToDate>
  <CharactersWithSpaces>4285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2017-09-21T07:55:00Z</dcterms:created>
  <dc:creator>何春玲</dc:creator>
  <cp:lastModifiedBy>zyr</cp:lastModifiedBy>
  <cp:lastPrinted>2018-05-21T01:12:00Z</cp:lastPrinted>
  <dcterms:modified xsi:type="dcterms:W3CDTF">2022-08-05T01:33:14Z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54A024D27385444ABC323A0D3FB0488A</vt:lpwstr>
  </property>
</Properties>
</file>